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4059E" w14:textId="6E5F6DAE" w:rsidR="0032452C" w:rsidRPr="002E107C" w:rsidRDefault="002E107C" w:rsidP="002E107C">
      <w:pPr>
        <w:pStyle w:val="a3"/>
        <w:spacing w:line="264" w:lineRule="exact"/>
        <w:ind w:left="598"/>
        <w:jc w:val="center"/>
        <w:rPr>
          <w:b/>
          <w:bCs/>
          <w:spacing w:val="-10"/>
        </w:rPr>
      </w:pPr>
      <w:r w:rsidRPr="002E107C">
        <w:rPr>
          <w:b/>
          <w:bCs/>
          <w:spacing w:val="-10"/>
        </w:rPr>
        <w:t>Заявление о намечаемой деятельности</w:t>
      </w:r>
    </w:p>
    <w:p w14:paraId="3A7337D4" w14:textId="71318FA0" w:rsidR="002E107C" w:rsidRDefault="002E107C">
      <w:pPr>
        <w:pStyle w:val="a3"/>
        <w:spacing w:line="264" w:lineRule="exact"/>
        <w:ind w:left="598"/>
        <w:jc w:val="both"/>
        <w:rPr>
          <w:spacing w:val="-10"/>
        </w:rPr>
      </w:pPr>
    </w:p>
    <w:p w14:paraId="155FD9EC" w14:textId="193802B0" w:rsidR="002E107C" w:rsidRDefault="002E107C">
      <w:pPr>
        <w:pStyle w:val="a3"/>
        <w:spacing w:line="264" w:lineRule="exact"/>
        <w:ind w:left="598"/>
        <w:jc w:val="both"/>
        <w:rPr>
          <w:spacing w:val="-10"/>
        </w:rPr>
      </w:pPr>
    </w:p>
    <w:p w14:paraId="14CBC626" w14:textId="77777777" w:rsidR="002E107C" w:rsidRDefault="002E107C">
      <w:pPr>
        <w:pStyle w:val="a3"/>
        <w:spacing w:line="264" w:lineRule="exact"/>
        <w:ind w:left="598"/>
        <w:jc w:val="both"/>
        <w:rPr>
          <w:spacing w:val="-10"/>
        </w:rPr>
      </w:pPr>
    </w:p>
    <w:tbl>
      <w:tblPr>
        <w:tblStyle w:val="a7"/>
        <w:tblW w:w="0" w:type="auto"/>
        <w:tblInd w:w="598" w:type="dxa"/>
        <w:tblLook w:val="04A0" w:firstRow="1" w:lastRow="0" w:firstColumn="1" w:lastColumn="0" w:noHBand="0" w:noVBand="1"/>
      </w:tblPr>
      <w:tblGrid>
        <w:gridCol w:w="10902"/>
      </w:tblGrid>
      <w:tr w:rsidR="0032452C" w14:paraId="540A92DA" w14:textId="77777777" w:rsidTr="00053091">
        <w:tc>
          <w:tcPr>
            <w:tcW w:w="10902" w:type="dxa"/>
            <w:shd w:val="clear" w:color="auto" w:fill="C6D9F1" w:themeFill="text2" w:themeFillTint="33"/>
          </w:tcPr>
          <w:p w14:paraId="282CA6DF" w14:textId="12DFF105" w:rsidR="0032452C" w:rsidRPr="0032452C" w:rsidRDefault="0032452C" w:rsidP="0032452C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1. Сведения об инициаторе намечаемой деятельности:</w:t>
            </w:r>
          </w:p>
        </w:tc>
      </w:tr>
      <w:tr w:rsidR="0032452C" w14:paraId="7332CC09" w14:textId="77777777" w:rsidTr="00053091">
        <w:tc>
          <w:tcPr>
            <w:tcW w:w="10902" w:type="dxa"/>
            <w:shd w:val="clear" w:color="auto" w:fill="C6D9F1" w:themeFill="text2" w:themeFillTint="33"/>
          </w:tcPr>
          <w:p w14:paraId="34B086DE" w14:textId="5FC11EB5" w:rsidR="0032452C" w:rsidRDefault="0032452C" w:rsidP="0032452C">
            <w:pPr>
              <w:widowControl/>
              <w:adjustRightInd w:val="0"/>
              <w:rPr>
                <w:spacing w:val="-10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для физического лица:</w:t>
            </w:r>
          </w:p>
        </w:tc>
      </w:tr>
      <w:tr w:rsidR="0032452C" w14:paraId="364BE8AD" w14:textId="77777777" w:rsidTr="00053091">
        <w:tc>
          <w:tcPr>
            <w:tcW w:w="10902" w:type="dxa"/>
          </w:tcPr>
          <w:p w14:paraId="7ECA69DB" w14:textId="0EC3ED15" w:rsidR="0032452C" w:rsidRDefault="0032452C">
            <w:pPr>
              <w:pStyle w:val="a3"/>
              <w:spacing w:line="264" w:lineRule="exact"/>
              <w:jc w:val="both"/>
              <w:rPr>
                <w:spacing w:val="-10"/>
              </w:rPr>
            </w:pPr>
            <w:r>
              <w:rPr>
                <w:spacing w:val="-10"/>
              </w:rPr>
              <w:t>–</w:t>
            </w:r>
          </w:p>
        </w:tc>
      </w:tr>
      <w:tr w:rsidR="0032452C" w14:paraId="7B715F67" w14:textId="77777777" w:rsidTr="00053091">
        <w:tc>
          <w:tcPr>
            <w:tcW w:w="10902" w:type="dxa"/>
            <w:shd w:val="clear" w:color="auto" w:fill="C6D9F1" w:themeFill="text2" w:themeFillTint="33"/>
          </w:tcPr>
          <w:p w14:paraId="192A00E7" w14:textId="669FA7D2" w:rsidR="0032452C" w:rsidRDefault="0032452C" w:rsidP="0032452C">
            <w:pPr>
              <w:widowControl/>
              <w:adjustRightInd w:val="0"/>
              <w:rPr>
                <w:spacing w:val="-10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для юридического лица:</w:t>
            </w:r>
          </w:p>
        </w:tc>
      </w:tr>
      <w:tr w:rsidR="0005560A" w14:paraId="2BAF5FCE" w14:textId="77777777" w:rsidTr="00053091">
        <w:tc>
          <w:tcPr>
            <w:tcW w:w="10902" w:type="dxa"/>
          </w:tcPr>
          <w:p w14:paraId="4765E92E" w14:textId="6E9B57B8" w:rsidR="0005560A" w:rsidRDefault="0005560A" w:rsidP="0005560A">
            <w:pPr>
              <w:widowControl/>
              <w:adjustRightInd w:val="0"/>
              <w:rPr>
                <w:spacing w:val="-10"/>
              </w:rPr>
            </w:pPr>
            <w:r>
              <w:rPr>
                <w:spacing w:val="-10"/>
              </w:rPr>
              <w:t>–</w:t>
            </w:r>
          </w:p>
        </w:tc>
      </w:tr>
      <w:tr w:rsidR="0005560A" w14:paraId="1C7B210D" w14:textId="77777777" w:rsidTr="00053091">
        <w:tc>
          <w:tcPr>
            <w:tcW w:w="10902" w:type="dxa"/>
            <w:shd w:val="clear" w:color="auto" w:fill="C6D9F1" w:themeFill="text2" w:themeFillTint="33"/>
          </w:tcPr>
          <w:p w14:paraId="7FCD22EE" w14:textId="77777777" w:rsidR="0005560A" w:rsidRDefault="0005560A" w:rsidP="0005560A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2. Общее описание видов намечаемой деятельности, и их классификация согласно приложению 1</w:t>
            </w:r>
          </w:p>
          <w:p w14:paraId="01FB305D" w14:textId="53899D89" w:rsidR="0005560A" w:rsidRDefault="0005560A" w:rsidP="0005560A">
            <w:pPr>
              <w:pStyle w:val="a3"/>
              <w:spacing w:line="264" w:lineRule="exact"/>
              <w:jc w:val="both"/>
              <w:rPr>
                <w:spacing w:val="-10"/>
              </w:rPr>
            </w:pPr>
            <w:r>
              <w:rPr>
                <w:rFonts w:ascii="TimesNewRoman" w:eastAsiaTheme="minorHAnsi" w:hAnsi="TimesNewRoman" w:cs="TimesNewRoman"/>
                <w:lang w:val="ru-KZ"/>
              </w:rPr>
              <w:t>Экологического кодекса Республики Казахстан (далее - Кодекс)</w:t>
            </w:r>
          </w:p>
        </w:tc>
      </w:tr>
      <w:tr w:rsidR="0005560A" w14:paraId="0048565E" w14:textId="77777777" w:rsidTr="00053091">
        <w:tc>
          <w:tcPr>
            <w:tcW w:w="10902" w:type="dxa"/>
          </w:tcPr>
          <w:p w14:paraId="3AAFAB38" w14:textId="18B3DBA0" w:rsidR="00864D46" w:rsidRPr="00864D46" w:rsidRDefault="0005560A" w:rsidP="00846627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33375D">
              <w:rPr>
                <w:rFonts w:ascii="TimesNewRoman" w:eastAsiaTheme="minorHAnsi" w:hAnsi="TimesNewRoman" w:cs="TimesNewRoman"/>
                <w:lang w:val="ru-KZ"/>
              </w:rPr>
              <w:t xml:space="preserve">Цель настоящего проекта - строительство </w:t>
            </w:r>
            <w:r w:rsidR="00977C5D">
              <w:rPr>
                <w:rFonts w:ascii="TimesNewRoman" w:eastAsiaTheme="minorHAnsi" w:hAnsi="TimesNewRoman" w:cs="TimesNewRoman"/>
              </w:rPr>
              <w:t xml:space="preserve">тепловой сети, которая 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>соедин</w:t>
            </w:r>
            <w:r w:rsidR="00977C5D">
              <w:rPr>
                <w:rFonts w:ascii="TimesNewRoman" w:eastAsiaTheme="minorHAnsi" w:hAnsi="TimesNewRoman" w:cs="TimesNewRoman"/>
              </w:rPr>
              <w:t>и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>т два теплоисточника</w:t>
            </w:r>
            <w:r w:rsidR="00977C5D">
              <w:rPr>
                <w:rFonts w:ascii="TimesNewRoman" w:eastAsiaTheme="minorHAnsi" w:hAnsi="TimesNewRoman" w:cs="TimesNewRoman"/>
              </w:rPr>
              <w:t>: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 xml:space="preserve"> ТОО «Усть-Каменогорск</w:t>
            </w:r>
            <w:r w:rsidR="00977C5D">
              <w:rPr>
                <w:rFonts w:ascii="TimesNewRoman" w:eastAsiaTheme="minorHAnsi" w:hAnsi="TimesNewRoman" w:cs="TimesNewRoman"/>
              </w:rPr>
              <w:t>ую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 xml:space="preserve"> ТЭЦ» и ТОО «Согринск</w:t>
            </w:r>
            <w:r w:rsidR="00977C5D">
              <w:rPr>
                <w:rFonts w:ascii="TimesNewRoman" w:eastAsiaTheme="minorHAnsi" w:hAnsi="TimesNewRoman" w:cs="TimesNewRoman"/>
              </w:rPr>
              <w:t>ую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 xml:space="preserve"> ТЭЦ», а также обеспеч</w:t>
            </w:r>
            <w:r w:rsidR="00977C5D">
              <w:rPr>
                <w:rFonts w:ascii="TimesNewRoman" w:eastAsiaTheme="minorHAnsi" w:hAnsi="TimesNewRoman" w:cs="TimesNewRoman"/>
              </w:rPr>
              <w:t>и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 xml:space="preserve">т теплоснабжение микрорайонов Новая Согра, Радужный, Солнечный, </w:t>
            </w:r>
            <w:r w:rsidR="00977C5D">
              <w:rPr>
                <w:rFonts w:ascii="TimesNewRoman" w:eastAsiaTheme="minorHAnsi" w:hAnsi="TimesNewRoman" w:cs="TimesNewRoman"/>
              </w:rPr>
              <w:t>Арматурный завод (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>Карабах</w:t>
            </w:r>
            <w:r w:rsidR="00977C5D">
              <w:rPr>
                <w:rFonts w:ascii="TimesNewRoman" w:eastAsiaTheme="minorHAnsi" w:hAnsi="TimesNewRoman" w:cs="TimesNewRoman"/>
              </w:rPr>
              <w:t>)</w:t>
            </w:r>
            <w:r w:rsidR="00977C5D" w:rsidRPr="00977C5D">
              <w:rPr>
                <w:rFonts w:ascii="TimesNewRoman" w:eastAsiaTheme="minorHAnsi" w:hAnsi="TimesNewRoman" w:cs="TimesNewRoman"/>
                <w:lang w:val="ru-KZ"/>
              </w:rPr>
              <w:t xml:space="preserve"> и Защита</w:t>
            </w:r>
            <w:r w:rsidRPr="0033375D">
              <w:rPr>
                <w:rFonts w:ascii="TimesNewRoman" w:eastAsiaTheme="minorHAnsi" w:hAnsi="TimesNewRoman" w:cs="TimesNewRoman"/>
                <w:lang w:val="ru-KZ"/>
              </w:rPr>
              <w:t xml:space="preserve">. </w:t>
            </w:r>
            <w:r w:rsidR="00864D46" w:rsidRPr="00864D46">
              <w:rPr>
                <w:rFonts w:ascii="TimesNewRoman" w:eastAsiaTheme="minorHAnsi" w:hAnsi="TimesNewRoman" w:cs="TimesNewRoman"/>
                <w:lang w:val="ru-KZ"/>
              </w:rPr>
              <w:t>Прокладывается теплосеть общей протяжённостью 18287,56 м, обустраиваются три площадки тепловых насосных станций</w:t>
            </w:r>
            <w:r w:rsidR="00864D46">
              <w:rPr>
                <w:rFonts w:ascii="TimesNewRoman" w:eastAsiaTheme="minorHAnsi" w:hAnsi="TimesNewRoman" w:cs="TimesNewRoman"/>
              </w:rPr>
              <w:t xml:space="preserve">. </w:t>
            </w:r>
            <w:r w:rsidR="00864D46" w:rsidRPr="00864D46">
              <w:rPr>
                <w:rFonts w:ascii="TimesNewRoman" w:eastAsiaTheme="minorHAnsi" w:hAnsi="TimesNewRoman" w:cs="TimesNewRoman"/>
              </w:rPr>
              <w:t xml:space="preserve">Сеть прокладывается надземно на всем протяжении, кроме </w:t>
            </w:r>
            <w:r w:rsidR="00846627">
              <w:rPr>
                <w:rFonts w:ascii="TimesNewRoman" w:eastAsiaTheme="minorHAnsi" w:hAnsi="TimesNewRoman" w:cs="TimesNewRoman"/>
              </w:rPr>
              <w:t xml:space="preserve">короткого </w:t>
            </w:r>
            <w:r w:rsidR="00864D46" w:rsidRPr="00864D46">
              <w:rPr>
                <w:rFonts w:ascii="TimesNewRoman" w:eastAsiaTheme="minorHAnsi" w:hAnsi="TimesNewRoman" w:cs="TimesNewRoman"/>
              </w:rPr>
              <w:t>участка вдоль посёлка Радужного</w:t>
            </w:r>
            <w:r w:rsidR="00864D46">
              <w:rPr>
                <w:rFonts w:ascii="TimesNewRoman" w:eastAsiaTheme="minorHAnsi" w:hAnsi="TimesNewRoman" w:cs="TimesNewRoman"/>
              </w:rPr>
              <w:t xml:space="preserve">. </w:t>
            </w:r>
            <w:r w:rsidR="00EE279E">
              <w:rPr>
                <w:rFonts w:ascii="TimesNewRoman" w:eastAsiaTheme="minorHAnsi" w:hAnsi="TimesNewRoman" w:cs="TimesNewRoman"/>
              </w:rPr>
              <w:t xml:space="preserve"> Проектируемый объект соответствует п. 10.1 раздела 2 Приложения 1 Экологического Кодекса Республики Казахстан: «</w:t>
            </w:r>
            <w:r w:rsidR="00EE279E" w:rsidRPr="00EE279E">
              <w:rPr>
                <w:rFonts w:ascii="TimesNewRoman" w:eastAsiaTheme="minorHAnsi" w:hAnsi="TimesNewRoman" w:cs="TimesNewRoman"/>
              </w:rPr>
              <w:t>трубопроводы и промышленные сооружения для транспортировки нефти, химических веществ, газа, пара и горячей воды длиной более 5 км</w:t>
            </w:r>
            <w:r w:rsidR="00EE279E">
              <w:rPr>
                <w:rFonts w:ascii="TimesNewRoman" w:eastAsiaTheme="minorHAnsi" w:hAnsi="TimesNewRoman" w:cs="TimesNewRoman"/>
              </w:rPr>
              <w:t>»</w:t>
            </w:r>
            <w:r w:rsidR="006177E9">
              <w:rPr>
                <w:rFonts w:ascii="TimesNewRoman" w:eastAsiaTheme="minorHAnsi" w:hAnsi="TimesNewRoman" w:cs="TimesNewRoman"/>
              </w:rPr>
              <w:t xml:space="preserve">, таким образом, для данного объекта </w:t>
            </w:r>
            <w:r w:rsidR="006177E9" w:rsidRPr="006177E9">
              <w:rPr>
                <w:rFonts w:ascii="TimesNewRoman" w:eastAsiaTheme="minorHAnsi" w:hAnsi="TimesNewRoman" w:cs="TimesNewRoman"/>
              </w:rPr>
              <w:t>проведение процедуры скрининга воздействий намечаемой деятельности является обязательным</w:t>
            </w:r>
            <w:r w:rsidR="006177E9">
              <w:rPr>
                <w:rFonts w:ascii="TimesNewRoman" w:eastAsiaTheme="minorHAnsi" w:hAnsi="TimesNewRoman" w:cs="TimesNewRoman"/>
              </w:rPr>
              <w:t>.</w:t>
            </w:r>
            <w:r w:rsidR="00846627">
              <w:rPr>
                <w:rFonts w:ascii="TimesNewRoman" w:eastAsiaTheme="minorHAnsi" w:hAnsi="TimesNewRoman" w:cs="TimesNewRoman"/>
              </w:rPr>
              <w:t xml:space="preserve"> В процессе строительных работ производится грузоперевозка сыпучих материалов (песок, глина, грунт, ПГС и т.п.) в количестве 56,6 тыс. т/год, таким образом намечаемая деятельность не относится к п. 10.28 раздела 2 Приложения 1. </w:t>
            </w:r>
            <w:r w:rsidR="004F03D1" w:rsidRPr="004F03D1">
              <w:rPr>
                <w:rFonts w:ascii="TimesNewRoman" w:eastAsiaTheme="minorHAnsi" w:hAnsi="TimesNewRoman" w:cs="TimesNewRoman"/>
              </w:rPr>
              <w:t>Намечаемая деятельность соответствует критериям, позволяющим отнести её к III категории:</w:t>
            </w:r>
            <w:r w:rsidR="004F03D1">
              <w:rPr>
                <w:rFonts w:ascii="TimesNewRoman" w:eastAsiaTheme="minorHAnsi" w:hAnsi="TimesNewRoman" w:cs="TimesNewRoman"/>
              </w:rPr>
              <w:t xml:space="preserve"> </w:t>
            </w:r>
            <w:r w:rsidR="004F03D1" w:rsidRPr="004F03D1">
              <w:rPr>
                <w:rFonts w:ascii="TimesNewRoman" w:eastAsiaTheme="minorHAnsi" w:hAnsi="TimesNewRoman" w:cs="TimesNewRoman"/>
              </w:rPr>
              <w:t>отсутствует в Приложении 2 Экологического Кодекса РК;</w:t>
            </w:r>
            <w:r w:rsidR="004F03D1">
              <w:rPr>
                <w:rFonts w:ascii="TimesNewRoman" w:eastAsiaTheme="minorHAnsi" w:hAnsi="TimesNewRoman" w:cs="TimesNewRoman"/>
              </w:rPr>
              <w:t xml:space="preserve"> </w:t>
            </w:r>
            <w:r w:rsidR="004F03D1" w:rsidRPr="004F03D1">
              <w:rPr>
                <w:rFonts w:ascii="TimesNewRoman" w:eastAsiaTheme="minorHAnsi" w:hAnsi="TimesNewRoman" w:cs="TimesNewRoman"/>
              </w:rPr>
              <w:t>соответствует пп. 7 п. 12 Инструкции по определению категории объекта, оказывающего негативное воздействие на окружающую среду: «накопление на объекте отходов: для неопасных от 10 до 100 000 тонн в год, для опасных отходов от 1 до 5 000 тонн в год»;</w:t>
            </w:r>
            <w:r w:rsidR="004F03D1">
              <w:rPr>
                <w:rFonts w:ascii="TimesNewRoman" w:eastAsiaTheme="minorHAnsi" w:hAnsi="TimesNewRoman" w:cs="TimesNewRoman"/>
              </w:rPr>
              <w:t xml:space="preserve"> </w:t>
            </w:r>
            <w:r w:rsidR="004F03D1" w:rsidRPr="004F03D1">
              <w:rPr>
                <w:rFonts w:ascii="TimesNewRoman" w:eastAsiaTheme="minorHAnsi" w:hAnsi="TimesNewRoman" w:cs="TimesNewRoman"/>
              </w:rPr>
              <w:t>соответствует пп. 8 п. 12 Инструкции по определению категории объекта, оказывающего негативное воздействие на окружающую среду: «проведение строительно-монтажных работ, при которых масса загрязняющих веществ в выбросах в атмосферный воздух составляет 10 тонн в год и более»;</w:t>
            </w:r>
            <w:r w:rsidR="004F03D1">
              <w:rPr>
                <w:rFonts w:ascii="TimesNewRoman" w:eastAsiaTheme="minorHAnsi" w:hAnsi="TimesNewRoman" w:cs="TimesNewRoman"/>
              </w:rPr>
              <w:t xml:space="preserve"> </w:t>
            </w:r>
            <w:r w:rsidR="004F03D1" w:rsidRPr="004F03D1">
              <w:rPr>
                <w:rFonts w:ascii="TimesNewRoman" w:eastAsiaTheme="minorHAnsi" w:hAnsi="TimesNewRoman" w:cs="TimesNewRoman"/>
              </w:rPr>
              <w:t>не соответствует пп. 2 п. 11 и пп. 2 п.10 Инструкции по определению категории объекта, оказывающего негативное воздействие на окружающую среду</w:t>
            </w:r>
          </w:p>
        </w:tc>
      </w:tr>
      <w:tr w:rsidR="0005560A" w14:paraId="397AC5BA" w14:textId="77777777" w:rsidTr="00053091">
        <w:tc>
          <w:tcPr>
            <w:tcW w:w="10902" w:type="dxa"/>
            <w:shd w:val="clear" w:color="auto" w:fill="C6D9F1" w:themeFill="text2" w:themeFillTint="33"/>
          </w:tcPr>
          <w:p w14:paraId="03CDCBE9" w14:textId="77777777" w:rsidR="0005560A" w:rsidRDefault="0005560A" w:rsidP="0005560A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3. В случаях внесения в виды деятельности существенных изменений:</w:t>
            </w:r>
          </w:p>
          <w:p w14:paraId="091459FA" w14:textId="77777777" w:rsidR="0005560A" w:rsidRDefault="0005560A" w:rsidP="0005560A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описание существенных изменений в виды деятельности и (или) деятельность объектов, в отношении</w:t>
            </w:r>
          </w:p>
          <w:p w14:paraId="6CCC855D" w14:textId="77777777" w:rsidR="0005560A" w:rsidRDefault="0005560A" w:rsidP="0005560A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которых ранее была проведена оценка воздействия на окружающую среду (подпункт 3) пункта 1 статьи 65</w:t>
            </w:r>
          </w:p>
          <w:p w14:paraId="72261183" w14:textId="7D252DCD" w:rsidR="0005560A" w:rsidRDefault="0005560A" w:rsidP="0005560A">
            <w:pPr>
              <w:pStyle w:val="a3"/>
              <w:spacing w:line="264" w:lineRule="exact"/>
              <w:jc w:val="both"/>
              <w:rPr>
                <w:spacing w:val="-10"/>
              </w:rPr>
            </w:pPr>
            <w:r>
              <w:rPr>
                <w:rFonts w:ascii="TimesNewRoman" w:eastAsiaTheme="minorHAnsi" w:hAnsi="TimesNewRoman" w:cs="TimesNewRoman"/>
                <w:lang w:val="ru-KZ"/>
              </w:rPr>
              <w:t>Кодекса)</w:t>
            </w:r>
          </w:p>
        </w:tc>
      </w:tr>
      <w:tr w:rsidR="0005560A" w14:paraId="712D3E64" w14:textId="77777777" w:rsidTr="00053091">
        <w:tc>
          <w:tcPr>
            <w:tcW w:w="10902" w:type="dxa"/>
          </w:tcPr>
          <w:p w14:paraId="406B5874" w14:textId="6F541FD7" w:rsidR="0005560A" w:rsidRPr="006177E9" w:rsidRDefault="006177E9" w:rsidP="0005560A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>
              <w:rPr>
                <w:rFonts w:ascii="TimesNewRoman" w:eastAsiaTheme="minorHAnsi" w:hAnsi="TimesNewRoman" w:cs="TimesNewRoman"/>
              </w:rPr>
              <w:t>Для данного объекта ранее оценка воздействия на окружающую среду не проводилась</w:t>
            </w:r>
          </w:p>
        </w:tc>
      </w:tr>
      <w:tr w:rsidR="0005560A" w14:paraId="42FEC3A2" w14:textId="77777777" w:rsidTr="00053091">
        <w:tc>
          <w:tcPr>
            <w:tcW w:w="10902" w:type="dxa"/>
            <w:shd w:val="clear" w:color="auto" w:fill="C6D9F1" w:themeFill="text2" w:themeFillTint="33"/>
          </w:tcPr>
          <w:p w14:paraId="01CD60D6" w14:textId="77777777" w:rsidR="0005560A" w:rsidRDefault="0005560A" w:rsidP="0005560A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описание существенных изменений в виды деятельности и (или) деятельность объектов, в отношении</w:t>
            </w:r>
          </w:p>
          <w:p w14:paraId="3F08988E" w14:textId="77777777" w:rsidR="0005560A" w:rsidRDefault="0005560A" w:rsidP="0005560A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которых ранее было выдано заключение о результатах скрининга воздействий намечаемой деятельности с</w:t>
            </w:r>
          </w:p>
          <w:p w14:paraId="21332AD4" w14:textId="242AC347" w:rsidR="0005560A" w:rsidRDefault="0005560A" w:rsidP="0005560A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выводом об отсутствии необходимости проведения оценки воздействия на окружающую среду (подпункт 4)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пункта 1 статьи 65 Кодекса)</w:t>
            </w:r>
          </w:p>
        </w:tc>
      </w:tr>
      <w:tr w:rsidR="007C632D" w14:paraId="571188CC" w14:textId="77777777" w:rsidTr="00053091">
        <w:tc>
          <w:tcPr>
            <w:tcW w:w="10902" w:type="dxa"/>
          </w:tcPr>
          <w:p w14:paraId="27147677" w14:textId="2B364B0F" w:rsidR="007C632D" w:rsidRDefault="007C632D" w:rsidP="007C632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>
              <w:rPr>
                <w:rFonts w:ascii="TimesNewRoman" w:eastAsiaTheme="minorHAnsi" w:hAnsi="TimesNewRoman" w:cs="TimesNewRoman"/>
              </w:rPr>
              <w:t>Для данного объекта ранее скрининг воздействия на окружающую среду не проводился</w:t>
            </w:r>
          </w:p>
        </w:tc>
      </w:tr>
      <w:tr w:rsidR="007C632D" w14:paraId="21933165" w14:textId="77777777" w:rsidTr="00053091">
        <w:tc>
          <w:tcPr>
            <w:tcW w:w="10902" w:type="dxa"/>
            <w:shd w:val="clear" w:color="auto" w:fill="C6D9F1" w:themeFill="text2" w:themeFillTint="33"/>
          </w:tcPr>
          <w:p w14:paraId="0C7B6254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4. Сведения о предполагаемом месте осуществления намечаемой деятельности, обоснование</w:t>
            </w:r>
          </w:p>
          <w:p w14:paraId="3483063D" w14:textId="7477E2A4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выбора места и возможностях выбора других мест</w:t>
            </w:r>
          </w:p>
        </w:tc>
      </w:tr>
      <w:tr w:rsidR="007C632D" w14:paraId="29E3A633" w14:textId="77777777" w:rsidTr="00053091">
        <w:tc>
          <w:tcPr>
            <w:tcW w:w="10902" w:type="dxa"/>
          </w:tcPr>
          <w:p w14:paraId="389AD71F" w14:textId="77777777" w:rsidR="001B57E8" w:rsidRPr="001B57E8" w:rsidRDefault="001B57E8" w:rsidP="001B57E8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1B57E8">
              <w:rPr>
                <w:rFonts w:ascii="TimesNewRoman" w:eastAsiaTheme="minorHAnsi" w:hAnsi="TimesNewRoman" w:cs="TimesNewRoman"/>
                <w:lang w:val="ru-KZ"/>
              </w:rPr>
              <w:t xml:space="preserve">Работы по проекту проводятся в Восточно-Казахстанской области, в городе Усть-Каменогорске, в районе микрорайонов Согры, Арматурного завода (Карабаха), Защиты, посёлка Радужного, посёлка Солнечного. </w:t>
            </w:r>
          </w:p>
          <w:p w14:paraId="273BA3EB" w14:textId="77777777" w:rsidR="001B57E8" w:rsidRPr="001B57E8" w:rsidRDefault="001B57E8" w:rsidP="001B57E8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1B57E8">
              <w:rPr>
                <w:rFonts w:ascii="TimesNewRoman" w:eastAsiaTheme="minorHAnsi" w:hAnsi="TimesNewRoman" w:cs="TimesNewRoman"/>
                <w:lang w:val="ru-KZ"/>
              </w:rPr>
              <w:t xml:space="preserve">Участок строительных работ проходит по застроенным и свободным участкам, по промышленной зоне и жилым районам. Ближайшие жилые дома расположены в 10 м от трассы тепловых сетей, на небольшом протяжении. Большей частью работы ведутся на участках промзоны или вдоль дорог. </w:t>
            </w:r>
          </w:p>
          <w:p w14:paraId="31ABE101" w14:textId="50E84069" w:rsidR="007C632D" w:rsidRPr="00846627" w:rsidRDefault="00846627" w:rsidP="00846627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846627">
              <w:rPr>
                <w:rFonts w:ascii="TimesNewRoman" w:eastAsiaTheme="minorHAnsi" w:hAnsi="TimesNewRoman" w:cs="TimesNewRoman"/>
                <w:lang w:val="ru-KZ"/>
              </w:rPr>
              <w:t xml:space="preserve">Проектируемая трасса пересекает 4 малых водных объекта: ручей Овечий Ключ, ручей Без названия, реку Моховку, ручей Безымянный Ключ. То есть трасса пересекает сами водные объекты над водой, опоры устанавливаются в водоохранных зонах и полосах. Окончание трассы (точка подключения) находится в 14 м от ручья Бражинского. Согласно Постановлению Восточно-Казахстанского областного акимата от 6 октября 2014 года № 266 «Об установлении водоохранных зон и водоохранных полос малых рек и ручьев в городе Усть-Каменогорске Восточно-Казахстанской области и режима их хозяйственного использования», проектируемые строительные работы затрагивают участки, относящиеся к водоохранным зонам и полосам малых водных объектов города Усть-Каменогорска Восточно-Казахстанской области: ручьев Бражинского, </w:t>
            </w:r>
            <w:r w:rsidRPr="00846627">
              <w:rPr>
                <w:rFonts w:ascii="TimesNewRoman" w:eastAsiaTheme="minorHAnsi" w:hAnsi="TimesNewRoman" w:cs="TimesNewRoman"/>
                <w:lang w:val="ru-KZ"/>
              </w:rPr>
              <w:lastRenderedPageBreak/>
              <w:t>Овечий Ключ, Безымянный Ключ, Без названия и реки Моховки. При этом воздействия на водные объекты не будет, поскольку тепловая сеть прокладывается на участках в районах водных объектов надземно, на опорах</w:t>
            </w:r>
            <w:r w:rsidR="001B57E8" w:rsidRPr="001B57E8">
              <w:rPr>
                <w:rFonts w:ascii="TimesNewRoman" w:eastAsiaTheme="minorHAnsi" w:hAnsi="TimesNewRoman" w:cs="TimesNewRoman"/>
                <w:lang w:val="ru-KZ"/>
              </w:rPr>
              <w:t>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="001B57E8" w:rsidRPr="001B57E8">
              <w:rPr>
                <w:rFonts w:ascii="TimesNewRoman" w:eastAsiaTheme="minorHAnsi" w:hAnsi="TimesNewRoman" w:cs="TimesNewRoman"/>
                <w:lang w:val="ru-KZ"/>
              </w:rPr>
              <w:t>Географические координаты намечаемой деятельности и территории воздействия: 50°01'42"N 82°47'10"E, 50°02'16"N 82°46'44"E, 50°02'31"N 82°43'05"E, 50°01'37"N 82°40'31"E, 50°00'47"N 82°40'25"E, 50°00'14"N 82°38'52"E, 50°00'03"N 82°37'04"E, 50°00'09"N 82°35'45"E</w:t>
            </w:r>
            <w:r w:rsidRPr="00846627">
              <w:rPr>
                <w:rFonts w:ascii="TimesNewRoman" w:eastAsiaTheme="minorHAnsi" w:hAnsi="TimesNewRoman" w:cs="TimesNewRoman"/>
              </w:rPr>
              <w:t xml:space="preserve"> </w:t>
            </w:r>
          </w:p>
        </w:tc>
      </w:tr>
      <w:tr w:rsidR="007C632D" w14:paraId="00C85F5F" w14:textId="77777777" w:rsidTr="00053091">
        <w:tc>
          <w:tcPr>
            <w:tcW w:w="10902" w:type="dxa"/>
            <w:shd w:val="clear" w:color="auto" w:fill="C6D9F1" w:themeFill="text2" w:themeFillTint="33"/>
          </w:tcPr>
          <w:p w14:paraId="7CC9226D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lastRenderedPageBreak/>
              <w:t>5. Общие предполагаемые технические характеристики намечаемой деятельности, включая</w:t>
            </w:r>
          </w:p>
          <w:p w14:paraId="4BAE8245" w14:textId="57B06648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 xml:space="preserve">мощность </w:t>
            </w:r>
            <w:r w:rsidR="002D2532">
              <w:rPr>
                <w:rFonts w:ascii="TimesNewRoman" w:eastAsiaTheme="minorHAnsi" w:hAnsi="TimesNewRoman" w:cs="TimesNewRoman"/>
                <w:sz w:val="23"/>
                <w:szCs w:val="23"/>
              </w:rPr>
              <w:t>(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производительность) объекта, его предполагаемые размеры, характеристику продукции</w:t>
            </w:r>
          </w:p>
        </w:tc>
      </w:tr>
      <w:tr w:rsidR="007C632D" w14:paraId="6EEC5E68" w14:textId="77777777" w:rsidTr="00053091">
        <w:tc>
          <w:tcPr>
            <w:tcW w:w="10902" w:type="dxa"/>
          </w:tcPr>
          <w:p w14:paraId="5EDA11DE" w14:textId="6FB77CF1" w:rsidR="007C632D" w:rsidRPr="00671520" w:rsidRDefault="00671520" w:rsidP="00CC2CAE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>
              <w:rPr>
                <w:rFonts w:ascii="TimesNewRoman" w:eastAsiaTheme="minorHAnsi" w:hAnsi="TimesNewRoman" w:cs="TimesNewRoman"/>
              </w:rPr>
              <w:t>Длина проектируемой тепловой сети составляет 18287,56 м</w:t>
            </w:r>
            <w:r w:rsidR="006D29D5">
              <w:rPr>
                <w:rFonts w:ascii="TimesNewRoman" w:eastAsiaTheme="minorHAnsi" w:hAnsi="TimesNewRoman" w:cs="TimesNewRoman"/>
              </w:rPr>
              <w:t xml:space="preserve">, в том числе: </w:t>
            </w:r>
            <w:r w:rsidR="00CC2CAE">
              <w:rPr>
                <w:rFonts w:ascii="TimesNewRoman" w:eastAsiaTheme="minorHAnsi" w:hAnsi="TimesNewRoman" w:cs="TimesNewRoman"/>
              </w:rPr>
              <w:t>у</w:t>
            </w:r>
            <w:r w:rsidR="00CC2CAE" w:rsidRPr="00CC2CAE">
              <w:rPr>
                <w:rFonts w:ascii="TimesNewRoman" w:eastAsiaTheme="minorHAnsi" w:hAnsi="TimesNewRoman" w:cs="TimesNewRoman"/>
              </w:rPr>
              <w:t>часток №1 - 2Д 530х7,0 – 4683,20 м; 2Д 325х7,0 – 839,4 м; 2Д 219х6,0 – 104,5 м; 2Д 133х4,0 – 103,0 м;</w:t>
            </w:r>
            <w:r w:rsidR="00CC2CAE">
              <w:rPr>
                <w:rFonts w:ascii="TimesNewRoman" w:eastAsiaTheme="minorHAnsi" w:hAnsi="TimesNewRoman" w:cs="TimesNewRoman"/>
              </w:rPr>
              <w:t xml:space="preserve"> </w:t>
            </w:r>
            <w:r w:rsidR="00CC2CAE" w:rsidRPr="00CC2CAE">
              <w:rPr>
                <w:rFonts w:ascii="TimesNewRoman" w:eastAsiaTheme="minorHAnsi" w:hAnsi="TimesNewRoman" w:cs="TimesNewRoman"/>
              </w:rPr>
              <w:t xml:space="preserve">Участок №2 - 2Д 530х7,0 – 7369,65 м; </w:t>
            </w:r>
            <w:r w:rsidR="002D2532">
              <w:rPr>
                <w:rFonts w:ascii="TimesNewRoman" w:eastAsiaTheme="minorHAnsi" w:hAnsi="TimesNewRoman" w:cs="TimesNewRoman"/>
              </w:rPr>
              <w:t>У</w:t>
            </w:r>
            <w:r w:rsidR="00CC2CAE" w:rsidRPr="00CC2CAE">
              <w:rPr>
                <w:rFonts w:ascii="TimesNewRoman" w:eastAsiaTheme="minorHAnsi" w:hAnsi="TimesNewRoman" w:cs="TimesNewRoman"/>
              </w:rPr>
              <w:t>часток № 3 – 2Д 426х7,0 – 5187,81 м.</w:t>
            </w:r>
            <w:r w:rsidR="002D2532">
              <w:rPr>
                <w:rFonts w:ascii="TimesNewRoman" w:eastAsiaTheme="minorHAnsi" w:hAnsi="TimesNewRoman" w:cs="TimesNewRoman"/>
              </w:rPr>
              <w:t xml:space="preserve"> 3 тепловых насосных станции, размером 36,5х18 м каждая, на площадке насосной – здание насосной, ограждение, санблок на 1 очко с водонепроницаемым выгребом. Источник теплоснабжения – ТОО «Согринская ТЭЦ»</w:t>
            </w:r>
            <w:r w:rsidR="00171F1E">
              <w:rPr>
                <w:rFonts w:ascii="TimesNewRoman" w:eastAsiaTheme="minorHAnsi" w:hAnsi="TimesNewRoman" w:cs="TimesNewRoman"/>
              </w:rPr>
              <w:t>. Расчётный тепловой поток 109,1 Гкал/час</w:t>
            </w:r>
            <w:r w:rsidR="003A6F7A">
              <w:rPr>
                <w:rFonts w:ascii="TimesNewRoman" w:eastAsiaTheme="minorHAnsi" w:hAnsi="TimesNewRoman" w:cs="TimesNewRoman"/>
              </w:rPr>
              <w:t xml:space="preserve">. </w:t>
            </w:r>
            <w:r w:rsidR="003A6F7A" w:rsidRPr="003A6F7A">
              <w:rPr>
                <w:rFonts w:ascii="TimesNewRoman" w:eastAsiaTheme="minorHAnsi" w:hAnsi="TimesNewRoman" w:cs="TimesNewRoman"/>
              </w:rPr>
              <w:t>Тепловые сети работают в отопительный период, а также в летний период, и подают теплоту на отопление, вентиляцию и горячее водоснабжение по температур- ному графику 150-70 °С</w:t>
            </w:r>
          </w:p>
        </w:tc>
      </w:tr>
      <w:tr w:rsidR="007C632D" w14:paraId="796D435E" w14:textId="77777777" w:rsidTr="00053091">
        <w:tc>
          <w:tcPr>
            <w:tcW w:w="10902" w:type="dxa"/>
            <w:shd w:val="clear" w:color="auto" w:fill="C6D9F1" w:themeFill="text2" w:themeFillTint="33"/>
          </w:tcPr>
          <w:p w14:paraId="53F28FAB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6. Краткое описание предполагаемых технических и технологических решений для намечаемой</w:t>
            </w:r>
          </w:p>
          <w:p w14:paraId="68CC1C79" w14:textId="1B7E7C3F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деятельности</w:t>
            </w:r>
          </w:p>
        </w:tc>
      </w:tr>
      <w:tr w:rsidR="007C632D" w14:paraId="675C800E" w14:textId="77777777" w:rsidTr="00053091">
        <w:tc>
          <w:tcPr>
            <w:tcW w:w="10902" w:type="dxa"/>
          </w:tcPr>
          <w:p w14:paraId="439C89BA" w14:textId="49088702" w:rsidR="007C632D" w:rsidRPr="00125EC4" w:rsidRDefault="003A6F7A" w:rsidP="003A6F7A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3A6F7A">
              <w:rPr>
                <w:rFonts w:ascii="TimesNewRoman" w:eastAsiaTheme="minorHAnsi" w:hAnsi="TimesNewRoman" w:cs="TimesNewRoman"/>
                <w:lang w:val="ru-KZ"/>
              </w:rPr>
              <w:t>Рабочим проектом предусматривается строительство тепловых сетей, которые соединят два теплоисточника ТОО «Усть-Каменогорская ТЭЦ» и ТОО «Согринская ТЭЦ», а также обеспечат теплоснабжение микрорайонов Новая Согра, Радужный, Солнечный, Карабах и Защита. Прокладывается теплосеть общей протяжённостью 18287,56 м, обустраиваются три площадки тепловых насосных станций. Сеть прокладывается надземно на всем протяжении, кроме участка вдоль посёлка Радужного.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Свободная территория озеленяется газоном общей площадью 1301 м².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Прокладка тепловых сетей и паропровода принята надземная на железобетонных опорах, эстакадах, а также в непроходном железобетонном канале. Здания тепловых насосных станций имеют габариты 36,5х12 м, одноэтажные, металлокаркасные, покрыты сэндвич-панелями.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Источник теплоснабжения – ТОО «Согринская ТЭЦ». Часть трубопровода (от точки подключения до неподвижной опоры, на автодороге) построена в 2017 году (для АО «Азия Авто»), не эксплуатировалась и пригодна для дальнейшего использования. Существующие конструкции подлежат ремонту: демонтаж и устройство новых входных дверей, проёмов, талей, опор под трубопроводы, устройство решетки для приямка, кровли, внутренняя отделка стен и потолка, облицовка фасадов, восстановление защитного антикоррозийного покрытия металлоконструкций, установка тепловых счетчиков. Строительные отходы, образующиеся в результате демонтажа, передаются специализированным организациям для утилизации.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Проектом предусматривается три участка</w:t>
            </w:r>
            <w:r>
              <w:rPr>
                <w:rFonts w:ascii="TimesNewRoman" w:eastAsiaTheme="minorHAnsi" w:hAnsi="TimesNewRoman" w:cs="TimesNewRoman"/>
              </w:rPr>
              <w:t xml:space="preserve"> тепловой сети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:</w:t>
            </w:r>
            <w:r>
              <w:rPr>
                <w:rFonts w:ascii="TimesNewRoman" w:eastAsiaTheme="minorHAnsi" w:hAnsi="TimesNewRoman" w:cs="TimesNewRoman"/>
              </w:rPr>
              <w:t xml:space="preserve"> 1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)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от ТОО «Согринская ТЭЦ» до ответвления на п. Радужный и п. Солнечный; 2)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от ответвления на п. Радужный и п. Солнечный до ПНС «Нефтегазмаш»;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3)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от ПНС «Нефтегазмаш» до ТК-877 (мкр. Защита).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Тепловые сети работают в отопительный период, а также в летний период, и подают теплоту на отопление, вентиляцию и горячее водоснабжение по температурному графику 150-70 °С.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Электроснабжение осуществляется от ГРУ-10кВ ТОО "Согринская ТЭЦ" прокладывается кабельная линия 10кВ кабелем АСБл-3х120-10. Кабели 0,4 кВ от ТП к узлам секционирования объекта прокладывается в траншее.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Строительно-монтажные работы проводятся в тёплый период года. Все применяемые для строительства материалы должны иметь сертификаты соответствия.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Строительство фундаментов под опоры и эстакады производится одновременно с прокладкой тепловых сетей. Контуры котлованов закрепляются, ограждаются, проводится защита от попадания ливневых вод, затем котлованы разрабатываются. Проводится подготовка основания, гидроизоляция. Фундаменты бетонируются, пазухи засыпаются. При устройстве фундаментов и эстакад в водоохранных полосах водных объектов проводится наиболее тщательная подготовка. Опоры устанавливаются на расстоянии не менее 3 м от русла, при этом котлован подготавливается, чтобы грунт складировался в сторону от водного объекта. Грунт сразу закрепляется и укрывается материалом во избежание размытия и развеивания. В день проведения работ в водоохранной зоне и полосе на площадку допускается только чистая техника, без следов ГСМ и пыли на корпусе. Работы по организации котлована, устройстве фундамента в водоохранной полосе проводятся максимально быстро, в присутствие мастера участка, который контролирует чёткость, порядок и правильность выполнения строительных операций.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Для обеспечения бытовых и санитарных нужд работников в период строительства организуются временные площадки, на которых устанавливаются передвижные помещения.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Теплоснабжение в помещениях организуется от электрокалориферов.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Электроснабжение на период строительства от существующих сетей района проведения строительных работ.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 xml:space="preserve">Для питьевых целей </w:t>
            </w:r>
            <w:r>
              <w:rPr>
                <w:rFonts w:ascii="TimesNewRoman" w:eastAsiaTheme="minorHAnsi" w:hAnsi="TimesNewRoman" w:cs="TimesNewRoman"/>
              </w:rPr>
              <w:t>используется привозная вода</w:t>
            </w:r>
            <w:r w:rsidRPr="003A6F7A">
              <w:rPr>
                <w:rFonts w:ascii="TimesNewRoman" w:eastAsiaTheme="minorHAnsi" w:hAnsi="TimesNewRoman" w:cs="TimesNewRoman"/>
                <w:lang w:val="ru-KZ"/>
              </w:rPr>
              <w:t>. Для сбора бытовых стоков на период строительства устанавливается биотуалет. В период строительства на территории проведения работ не предусматривается заправка автотранспорта и временное хранение ГСМ. Заправка осуществляется на городских АЗС</w:t>
            </w:r>
          </w:p>
        </w:tc>
      </w:tr>
      <w:tr w:rsidR="007C632D" w14:paraId="02D7A01E" w14:textId="77777777" w:rsidTr="00053091">
        <w:tc>
          <w:tcPr>
            <w:tcW w:w="10902" w:type="dxa"/>
            <w:shd w:val="clear" w:color="auto" w:fill="C6D9F1" w:themeFill="text2" w:themeFillTint="33"/>
          </w:tcPr>
          <w:p w14:paraId="47DBE88A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lastRenderedPageBreak/>
              <w:t>7. Предположительные сроки начала реализации намечаемой деятельности и ее завершения</w:t>
            </w:r>
          </w:p>
          <w:p w14:paraId="1E2B6BEA" w14:textId="5A74C27C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(включая строительство, эксплуатацию, и постутилизацию объекта)</w:t>
            </w:r>
          </w:p>
        </w:tc>
      </w:tr>
      <w:tr w:rsidR="007C632D" w14:paraId="56E64AE6" w14:textId="77777777" w:rsidTr="00053091">
        <w:tc>
          <w:tcPr>
            <w:tcW w:w="10902" w:type="dxa"/>
          </w:tcPr>
          <w:p w14:paraId="47F9D828" w14:textId="47462B78" w:rsidR="007C632D" w:rsidRDefault="007C632D" w:rsidP="007C632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A43002">
              <w:rPr>
                <w:rFonts w:ascii="TimesNewRoman" w:eastAsiaTheme="minorHAnsi" w:hAnsi="TimesNewRoman" w:cs="TimesNewRoman"/>
                <w:lang w:val="ru-KZ"/>
              </w:rPr>
              <w:t>Строительные работы начнутся в 202</w:t>
            </w:r>
            <w:r w:rsidR="002A0821">
              <w:rPr>
                <w:rFonts w:ascii="TimesNewRoman" w:eastAsiaTheme="minorHAnsi" w:hAnsi="TimesNewRoman" w:cs="TimesNewRoman"/>
              </w:rPr>
              <w:t>6</w:t>
            </w:r>
            <w:r w:rsidRPr="00A43002">
              <w:rPr>
                <w:rFonts w:ascii="TimesNewRoman" w:eastAsiaTheme="minorHAnsi" w:hAnsi="TimesNewRoman" w:cs="TimesNewRoman"/>
                <w:lang w:val="ru-KZ"/>
              </w:rPr>
              <w:t xml:space="preserve"> году, продлятся </w:t>
            </w:r>
            <w:r w:rsidR="00A43002" w:rsidRPr="00A43002">
              <w:rPr>
                <w:rFonts w:ascii="TimesNewRoman" w:eastAsiaTheme="minorHAnsi" w:hAnsi="TimesNewRoman" w:cs="TimesNewRoman"/>
              </w:rPr>
              <w:t>18</w:t>
            </w:r>
            <w:r w:rsidRPr="00A43002">
              <w:rPr>
                <w:rFonts w:ascii="TimesNewRoman" w:eastAsiaTheme="minorHAnsi" w:hAnsi="TimesNewRoman" w:cs="TimesNewRoman"/>
                <w:lang w:val="ru-KZ"/>
              </w:rPr>
              <w:t xml:space="preserve"> месяц</w:t>
            </w:r>
            <w:r w:rsidR="00A43002" w:rsidRPr="00A43002">
              <w:rPr>
                <w:rFonts w:ascii="TimesNewRoman" w:eastAsiaTheme="minorHAnsi" w:hAnsi="TimesNewRoman" w:cs="TimesNewRoman"/>
              </w:rPr>
              <w:t>ев</w:t>
            </w:r>
            <w:r w:rsidRPr="00A43002">
              <w:rPr>
                <w:rFonts w:ascii="TimesNewRoman" w:eastAsiaTheme="minorHAnsi" w:hAnsi="TimesNewRoman" w:cs="TimesNewRoman"/>
                <w:lang w:val="ru-KZ"/>
              </w:rPr>
              <w:t>.</w:t>
            </w:r>
            <w:r w:rsidRPr="00A43002">
              <w:rPr>
                <w:rFonts w:ascii="TimesNewRoman" w:eastAsiaTheme="minorHAnsi" w:hAnsi="TimesNewRoman" w:cs="TimesNewRoman"/>
              </w:rPr>
              <w:t xml:space="preserve"> </w:t>
            </w:r>
            <w:r w:rsidRPr="00A43002">
              <w:rPr>
                <w:rFonts w:ascii="TimesNewRoman" w:eastAsiaTheme="minorHAnsi" w:hAnsi="TimesNewRoman" w:cs="TimesNewRoman"/>
                <w:lang w:val="ru-KZ"/>
              </w:rPr>
              <w:t>Начало эксплуатации 2027 год.</w:t>
            </w:r>
            <w:r w:rsidRPr="00A43002">
              <w:rPr>
                <w:rFonts w:ascii="TimesNewRoman" w:eastAsiaTheme="minorHAnsi" w:hAnsi="TimesNewRoman" w:cs="TimesNewRoman"/>
              </w:rPr>
              <w:t xml:space="preserve"> </w:t>
            </w:r>
            <w:r w:rsidRPr="00A43002">
              <w:rPr>
                <w:rFonts w:ascii="TimesNewRoman" w:eastAsiaTheme="minorHAnsi" w:hAnsi="TimesNewRoman" w:cs="TimesNewRoman"/>
                <w:lang w:val="ru-KZ"/>
              </w:rPr>
              <w:t xml:space="preserve">Продолжительность эксплуатации </w:t>
            </w:r>
            <w:r w:rsidR="00A43002" w:rsidRPr="00A43002">
              <w:rPr>
                <w:rFonts w:ascii="TimesNewRoman" w:eastAsiaTheme="minorHAnsi" w:hAnsi="TimesNewRoman" w:cs="TimesNewRoman"/>
              </w:rPr>
              <w:t>сетей</w:t>
            </w:r>
            <w:r w:rsidRPr="00A43002">
              <w:rPr>
                <w:rFonts w:ascii="TimesNewRoman" w:eastAsiaTheme="minorHAnsi" w:hAnsi="TimesNewRoman" w:cs="TimesNewRoman"/>
                <w:lang w:val="ru-KZ"/>
              </w:rPr>
              <w:t xml:space="preserve"> – не ограничена</w:t>
            </w:r>
          </w:p>
        </w:tc>
      </w:tr>
      <w:tr w:rsidR="007C632D" w14:paraId="390126A8" w14:textId="77777777" w:rsidTr="00053091">
        <w:tc>
          <w:tcPr>
            <w:tcW w:w="10902" w:type="dxa"/>
            <w:shd w:val="clear" w:color="auto" w:fill="C6D9F1" w:themeFill="text2" w:themeFillTint="33"/>
          </w:tcPr>
          <w:p w14:paraId="4763D26B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8. Описание видов ресурсов, необходимых для осуществления намечаемой деятельности, включая</w:t>
            </w:r>
          </w:p>
          <w:p w14:paraId="5B8C2ECF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строительство, эксплуатацию и постутилизацию объектов (с указанием предполагаемых качественных и</w:t>
            </w:r>
          </w:p>
          <w:p w14:paraId="2BEC902B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максимальных количественных характеристик, а также операций, для которых предполагается их</w:t>
            </w:r>
          </w:p>
          <w:p w14:paraId="79CC9871" w14:textId="07D6BFE2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использование):</w:t>
            </w:r>
          </w:p>
        </w:tc>
      </w:tr>
      <w:tr w:rsidR="007C632D" w14:paraId="1454B04B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0E05ECA8" w14:textId="25DF6FF5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1) земельных участков, их площадей, целевого назначения, предполагаемых сроков использования</w:t>
            </w:r>
          </w:p>
        </w:tc>
      </w:tr>
      <w:tr w:rsidR="007C632D" w14:paraId="1B520D7E" w14:textId="77777777" w:rsidTr="00053091">
        <w:tc>
          <w:tcPr>
            <w:tcW w:w="10902" w:type="dxa"/>
          </w:tcPr>
          <w:p w14:paraId="15E55DF4" w14:textId="1529A500" w:rsidR="007C632D" w:rsidRDefault="00BC3F3B" w:rsidP="007C632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BC3F3B">
              <w:rPr>
                <w:rFonts w:ascii="TimesNewRoman" w:eastAsiaTheme="minorHAnsi" w:hAnsi="TimesNewRoman" w:cs="TimesNewRoman"/>
                <w:lang w:val="ru-KZ"/>
              </w:rPr>
              <w:t>Работы проводятся на земельных участках с кадастровыми номерами 05-085-157-3045 (площадью 0,4934 га), 05-085-157-3047 (площадью 0,4159 га), 05-085-157-3048 (площадью 0,0037 га), 05-085-157-3049 (площадью 0,0808 га), 05-085-157-3050 (площадью 0,0597 га), 05-085-157-3051 (площадью 0,005 га), 05-085-157-3052 (площадью 0,0487 га), 05-085-157-3053 (площадью 0,0085 га), 05-085-157-3054 (площадью 0,0083 га), 05-085-157-3055 (площадью 1,217 га), 05-085-157-3078 (площадью 0,0472 га), 05-085-157-3079 (площадью 0,0221 га), 05-085-157-3080 (площадью 0,0043 га), 05-085-157-3081 (площадью 0,3081 га), 05-085-157-3083 (площадью 0,4689 га), 05-085-157-3085 (площадью 0,0675 га), 05-085-157-3086 (площадью 0,1122 га), 05-085-157-3087 (площадью 0,0203 га), 05-085-157-3088 (площадью 0,2022 га), 05-085-157-3089 (площадью 0,3183 га), 05-085-157-3090 (площадью 0,0052 га), 05-085-157-3091 (площадью 0,0908 га), 05-085-157-3092 (площадью 0,097 га), 05-085-157-3093 (площадью 0,058 га), 05-085-157-3094 (площадью 0,0543 га), 05-085-157-3095 (площадью 0,0713 га), 05-085-157-3096 (площадью 0,054 га), 05-085-157-3097 (площадью 0,5224 га), 05-085-157-3098 (площадью 0,0069 га), 05-085-157-3099 (площадью 0,3591 га), 05-085-157-3100 (площадью 0,0056 га), 05-085-157-3101 (площадью 0,0071 га). Категория земель – земли населённых пунктов. Целевое назначение всех участков – для проектирования и строительства тепловых сетей (перемычка) между ТОО «Усть-Каменогорская ТЭЦ» и ТОО «Согринская ТЭЦ»</w:t>
            </w:r>
          </w:p>
        </w:tc>
      </w:tr>
      <w:tr w:rsidR="007C632D" w14:paraId="413E7E33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63B210E1" w14:textId="393BB9FA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2) водных ресурсов с указанием:</w:t>
            </w:r>
          </w:p>
        </w:tc>
      </w:tr>
      <w:tr w:rsidR="007C632D" w14:paraId="217C70F3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6B1A547A" w14:textId="1B3C9FC3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предполагаемого источника водоснабжения (системы централизованного водоснабжения, водные объекты,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используемые для нецентрализованного водоснабжения, привозная вода), сведений о наличии</w:t>
            </w:r>
          </w:p>
          <w:p w14:paraId="6C27AF00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водоохранных зон и полос, при их отсутствии – вывод о необходимости их установления в соответствии с</w:t>
            </w:r>
          </w:p>
          <w:p w14:paraId="49717561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законодательством Республики Казахстан, а при наличии – об установленных для них запретах и</w:t>
            </w:r>
          </w:p>
          <w:p w14:paraId="5C57704F" w14:textId="20B0F71C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ограничениях, касающихся намечаемой деятельности</w:t>
            </w:r>
          </w:p>
        </w:tc>
      </w:tr>
      <w:tr w:rsidR="007C632D" w:rsidRPr="00A43002" w14:paraId="050D8AB5" w14:textId="77777777" w:rsidTr="00053091">
        <w:tc>
          <w:tcPr>
            <w:tcW w:w="10902" w:type="dxa"/>
          </w:tcPr>
          <w:p w14:paraId="02F4D149" w14:textId="7F6DAB2C" w:rsidR="007C632D" w:rsidRPr="00A43002" w:rsidRDefault="007C632D" w:rsidP="007C632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BF7402">
              <w:rPr>
                <w:rFonts w:ascii="TimesNewRoman" w:eastAsiaTheme="minorHAnsi" w:hAnsi="TimesNewRoman" w:cs="TimesNewRoman"/>
                <w:lang w:val="ru-KZ"/>
              </w:rPr>
              <w:t xml:space="preserve">В период строительства вода будет использоваться для хоз.-бытовых и технологических нужд. </w:t>
            </w:r>
            <w:r w:rsidR="00A43002" w:rsidRPr="00A43002">
              <w:rPr>
                <w:rFonts w:ascii="TimesNewRoman" w:eastAsiaTheme="minorHAnsi" w:hAnsi="TimesNewRoman" w:cs="TimesNewRoman"/>
                <w:lang w:val="ru-KZ"/>
              </w:rPr>
              <w:t>Вода для хоз.-питьевых нужд используется привозная (от поставщиков питьевой воды), соответствующая гигиеническим нормативам показателей безопасности хозяйственно-питьевого и культурно-бытового водопользования (Приказ Министра здравоохранения Республики Казахстан от 24 ноября 2022 года № ҚР ДСМ-138), а также гигиеническим нормативам «Об утверждении гигиенических нормативов к обеспечению радиационной безопасности (Приказ Министра здравоохранения Республики Казахстан от 2 августа 2022 года № ҚР ДСМ-71). Вода для пылеподавления и уплотнения грунтов используется технического качества, доставляется специализированной организацией. Для промывки труб используется привозная хоз.-питьевая вода соответствующего качества, доставляемая подрядчиком, осуществляющим промывку труб</w:t>
            </w:r>
          </w:p>
        </w:tc>
      </w:tr>
      <w:tr w:rsidR="007C632D" w14:paraId="6D4D13FB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2364356F" w14:textId="7777777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видов водопользования (общее, специальное, обособленное), качества необходимой воды (питьевая,</w:t>
            </w:r>
          </w:p>
          <w:p w14:paraId="4BAE0044" w14:textId="5662A197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непитьевая)</w:t>
            </w:r>
          </w:p>
        </w:tc>
      </w:tr>
      <w:tr w:rsidR="007C632D" w14:paraId="4DCE72CD" w14:textId="77777777" w:rsidTr="00053091">
        <w:tc>
          <w:tcPr>
            <w:tcW w:w="10902" w:type="dxa"/>
          </w:tcPr>
          <w:p w14:paraId="7E20DD15" w14:textId="6809FABF" w:rsidR="007C632D" w:rsidRPr="003A7FFC" w:rsidRDefault="007C632D" w:rsidP="007C632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BB11A9">
              <w:rPr>
                <w:rFonts w:ascii="TimesNewRoman" w:eastAsiaTheme="minorHAnsi" w:hAnsi="TimesNewRoman" w:cs="TimesNewRoman"/>
                <w:lang w:val="ru-KZ"/>
              </w:rPr>
              <w:t>В период строительства: общее (питьевая), специальное (</w:t>
            </w:r>
            <w:r w:rsidR="00CF11E4">
              <w:rPr>
                <w:rFonts w:ascii="TimesNewRoman" w:eastAsiaTheme="minorHAnsi" w:hAnsi="TimesNewRoman" w:cs="TimesNewRoman"/>
              </w:rPr>
              <w:t xml:space="preserve">питьевая, </w:t>
            </w:r>
            <w:r w:rsidRPr="00BB11A9">
              <w:rPr>
                <w:rFonts w:ascii="TimesNewRoman" w:eastAsiaTheme="minorHAnsi" w:hAnsi="TimesNewRoman" w:cs="TimesNewRoman"/>
                <w:lang w:val="ru-KZ"/>
              </w:rPr>
              <w:t>непитьевая). В период эксплуатации</w:t>
            </w:r>
            <w:r w:rsidR="003A7FFC">
              <w:rPr>
                <w:rFonts w:ascii="TimesNewRoman" w:eastAsiaTheme="minorHAnsi" w:hAnsi="TimesNewRoman" w:cs="TimesNewRoman"/>
              </w:rPr>
              <w:t xml:space="preserve"> отсутствует</w:t>
            </w:r>
          </w:p>
        </w:tc>
      </w:tr>
      <w:tr w:rsidR="007C632D" w14:paraId="26276882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033BBF52" w14:textId="6BAB803B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объемов потребления воды</w:t>
            </w:r>
          </w:p>
        </w:tc>
      </w:tr>
      <w:tr w:rsidR="007C632D" w14:paraId="4E702B87" w14:textId="77777777" w:rsidTr="00053091">
        <w:tc>
          <w:tcPr>
            <w:tcW w:w="10902" w:type="dxa"/>
          </w:tcPr>
          <w:p w14:paraId="65CEED3D" w14:textId="69750B37" w:rsidR="007C632D" w:rsidRPr="00595738" w:rsidRDefault="007C632D" w:rsidP="007C632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В период строительства расход воды для хоз.-питьевых нужд составит </w:t>
            </w:r>
            <w:r w:rsidR="00595738">
              <w:rPr>
                <w:rFonts w:ascii="TimesNewRoman" w:eastAsiaTheme="minorHAnsi" w:hAnsi="TimesNewRoman" w:cs="TimesNewRoman"/>
              </w:rPr>
              <w:t>0,457</w:t>
            </w: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 тыс. м³/год, для гидравлических испытаний трубопроводов (питьевая) – </w:t>
            </w:r>
            <w:r w:rsidR="00595738">
              <w:rPr>
                <w:rFonts w:ascii="TimesNewRoman" w:eastAsiaTheme="minorHAnsi" w:hAnsi="TimesNewRoman" w:cs="TimesNewRoman"/>
              </w:rPr>
              <w:t>35,3</w:t>
            </w: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 тыс. м³/год, технической воды на производственные нужды </w:t>
            </w:r>
            <w:r w:rsidR="00595738">
              <w:rPr>
                <w:rFonts w:ascii="TimesNewRoman" w:eastAsiaTheme="minorHAnsi" w:hAnsi="TimesNewRoman" w:cs="TimesNewRoman"/>
              </w:rPr>
              <w:t>11,397</w:t>
            </w: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 тыс. м³/год. В период эксплуатации </w:t>
            </w:r>
            <w:r w:rsidR="00595738">
              <w:rPr>
                <w:rFonts w:ascii="TimesNewRoman" w:eastAsiaTheme="minorHAnsi" w:hAnsi="TimesNewRoman" w:cs="TimesNewRoman"/>
              </w:rPr>
              <w:t>водоснабжение не требуется</w:t>
            </w:r>
          </w:p>
        </w:tc>
      </w:tr>
      <w:tr w:rsidR="007C632D" w14:paraId="6D038628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5D2EF1EA" w14:textId="20CACB7F" w:rsidR="007C632D" w:rsidRDefault="007C632D" w:rsidP="007C632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операций, для которых планируется использование водных ресурсов</w:t>
            </w:r>
          </w:p>
        </w:tc>
      </w:tr>
      <w:tr w:rsidR="00030EAD" w14:paraId="6F2798CC" w14:textId="77777777" w:rsidTr="00053091">
        <w:tc>
          <w:tcPr>
            <w:tcW w:w="10902" w:type="dxa"/>
          </w:tcPr>
          <w:p w14:paraId="473C4B75" w14:textId="7409C40A" w:rsidR="00030EAD" w:rsidRPr="00FC1189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В период строительства расход воды для хоз.-питьевых нужд составит </w:t>
            </w:r>
            <w:r>
              <w:rPr>
                <w:rFonts w:ascii="TimesNewRoman" w:eastAsiaTheme="minorHAnsi" w:hAnsi="TimesNewRoman" w:cs="TimesNewRoman"/>
              </w:rPr>
              <w:t>0,457</w:t>
            </w: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 тыс. м³/год, для гидравлических испытаний трубопроводов (питьевая) – </w:t>
            </w:r>
            <w:r>
              <w:rPr>
                <w:rFonts w:ascii="TimesNewRoman" w:eastAsiaTheme="minorHAnsi" w:hAnsi="TimesNewRoman" w:cs="TimesNewRoman"/>
              </w:rPr>
              <w:t>35,3</w:t>
            </w: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 тыс. м³/год, технической воды на производственные нужды </w:t>
            </w:r>
            <w:r>
              <w:rPr>
                <w:rFonts w:ascii="TimesNewRoman" w:eastAsiaTheme="minorHAnsi" w:hAnsi="TimesNewRoman" w:cs="TimesNewRoman"/>
              </w:rPr>
              <w:t>11,397</w:t>
            </w:r>
            <w:r w:rsidRPr="00BB11A9">
              <w:rPr>
                <w:rFonts w:ascii="TimesNewRoman" w:eastAsiaTheme="minorHAnsi" w:hAnsi="TimesNewRoman" w:cs="TimesNewRoman"/>
                <w:lang w:val="ru-KZ"/>
              </w:rPr>
              <w:t xml:space="preserve"> тыс. м³/год. В период эксплуатации </w:t>
            </w:r>
            <w:r>
              <w:rPr>
                <w:rFonts w:ascii="TimesNewRoman" w:eastAsiaTheme="minorHAnsi" w:hAnsi="TimesNewRoman" w:cs="TimesNewRoman"/>
              </w:rPr>
              <w:t>водоснабжение не требуется</w:t>
            </w:r>
          </w:p>
        </w:tc>
      </w:tr>
      <w:tr w:rsidR="00030EAD" w14:paraId="71D5B668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1375DF2D" w14:textId="5051594F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3)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участков недр с указанием вида и сроков права недропользования, их географические</w:t>
            </w:r>
          </w:p>
          <w:p w14:paraId="3968501A" w14:textId="2BFF79D8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координаты (если они известны)</w:t>
            </w:r>
          </w:p>
        </w:tc>
      </w:tr>
      <w:tr w:rsidR="00030EAD" w14:paraId="17840C74" w14:textId="77777777" w:rsidTr="00053091">
        <w:tc>
          <w:tcPr>
            <w:tcW w:w="10902" w:type="dxa"/>
          </w:tcPr>
          <w:p w14:paraId="21E2DEA4" w14:textId="6BCC424A" w:rsidR="00030EAD" w:rsidRPr="00F37A61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>
              <w:rPr>
                <w:rFonts w:ascii="TimesNewRoman" w:eastAsiaTheme="minorHAnsi" w:hAnsi="TimesNewRoman" w:cs="TimesNewRoman"/>
              </w:rPr>
              <w:t>Недропользование намечаемой деятельностью не предполагается</w:t>
            </w:r>
          </w:p>
        </w:tc>
      </w:tr>
      <w:tr w:rsidR="00030EAD" w14:paraId="4D6511D5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50F9BCF8" w14:textId="36752094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lastRenderedPageBreak/>
              <w:t>4) растительных ресурсов с указанием их видов, объемов, источников приобретения (в том числе</w:t>
            </w:r>
            <w:r w:rsidR="00780E02"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мест их заготовки, если планируется их сбор в окружающей среде) и сроков использования, а также</w:t>
            </w:r>
          </w:p>
          <w:p w14:paraId="17D34A77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сведений о наличии или отсутствии зеленых насаждений в предполагаемом месте осуществления</w:t>
            </w:r>
          </w:p>
          <w:p w14:paraId="1FDC7EF0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намечаемой деятельности, необходимости их вырубки или переноса, количестве зеленых насаждений,</w:t>
            </w:r>
          </w:p>
          <w:p w14:paraId="531E530E" w14:textId="68FE9081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подлежащих вырубке или переносу, а также запланированных к посадке в порядке компенсации</w:t>
            </w:r>
          </w:p>
        </w:tc>
      </w:tr>
      <w:tr w:rsidR="00030EAD" w14:paraId="6B8D0F54" w14:textId="77777777" w:rsidTr="00053091">
        <w:tc>
          <w:tcPr>
            <w:tcW w:w="10902" w:type="dxa"/>
          </w:tcPr>
          <w:p w14:paraId="317834C4" w14:textId="11EA5DD4" w:rsidR="00030EAD" w:rsidRPr="0098470E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F37A61">
              <w:rPr>
                <w:rFonts w:ascii="TimesNewRoman" w:eastAsiaTheme="minorHAnsi" w:hAnsi="TimesNewRoman" w:cs="TimesNewRoman"/>
                <w:lang w:val="ru-KZ"/>
              </w:rPr>
              <w:t xml:space="preserve">Необходимость в растительности на период строительства </w:t>
            </w:r>
            <w:r w:rsidR="0098470E">
              <w:rPr>
                <w:rFonts w:ascii="TimesNewRoman" w:eastAsiaTheme="minorHAnsi" w:hAnsi="TimesNewRoman" w:cs="TimesNewRoman"/>
              </w:rPr>
              <w:t xml:space="preserve">и эксплуатации объекта </w:t>
            </w:r>
            <w:r w:rsidRPr="00F37A61">
              <w:rPr>
                <w:rFonts w:ascii="TimesNewRoman" w:eastAsiaTheme="minorHAnsi" w:hAnsi="TimesNewRoman" w:cs="TimesNewRoman"/>
                <w:lang w:val="ru-KZ"/>
              </w:rPr>
              <w:t>отсутствует</w:t>
            </w:r>
            <w:r w:rsidR="0098470E">
              <w:rPr>
                <w:rFonts w:ascii="TimesNewRoman" w:eastAsiaTheme="minorHAnsi" w:hAnsi="TimesNewRoman" w:cs="TimesNewRoman"/>
              </w:rPr>
              <w:t xml:space="preserve">. </w:t>
            </w:r>
            <w:r w:rsidR="0098470E" w:rsidRPr="0098470E">
              <w:rPr>
                <w:rFonts w:ascii="TimesNewRoman" w:eastAsiaTheme="minorHAnsi" w:hAnsi="TimesNewRoman" w:cs="TimesNewRoman"/>
              </w:rPr>
              <w:t>На участке строительства под снос попадают зеленые насаждения в количестве 6035 штук: 3850 клёнов, 1897 вязов, 288 тополей. Согласно письму ЖКХ № ЗТ-2026-00379695 от 17.02.2026 г., вырубка производится на основании разрешения на спил деревьев, при обязательной компенсационной посадке в десятикратном размере с высотой 2,5 для лиственных и 2 м для хвойных пород, с уходными работами для лиственных пород 2 года, за хвойными – 3 года</w:t>
            </w:r>
            <w:r w:rsidR="0098470E">
              <w:rPr>
                <w:rFonts w:ascii="TimesNewRoman" w:eastAsiaTheme="minorHAnsi" w:hAnsi="TimesNewRoman" w:cs="TimesNewRoman"/>
              </w:rPr>
              <w:t xml:space="preserve"> </w:t>
            </w:r>
          </w:p>
        </w:tc>
      </w:tr>
      <w:tr w:rsidR="00030EAD" w14:paraId="4725EF94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6D7F8BA8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5) видов объектов животного мира, их частей, дериватов, полезных свойств и продуктов</w:t>
            </w:r>
          </w:p>
          <w:p w14:paraId="03F0C799" w14:textId="75ED3F03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жизнедеятельности животных с указанием:</w:t>
            </w:r>
          </w:p>
        </w:tc>
      </w:tr>
      <w:tr w:rsidR="00030EAD" w14:paraId="39B6496D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5B006883" w14:textId="3B9AC4D3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объемов пользования животным миром</w:t>
            </w:r>
          </w:p>
        </w:tc>
      </w:tr>
      <w:tr w:rsidR="00030EAD" w14:paraId="44978B06" w14:textId="77777777" w:rsidTr="00053091">
        <w:tc>
          <w:tcPr>
            <w:tcW w:w="10902" w:type="dxa"/>
          </w:tcPr>
          <w:p w14:paraId="2D6631F7" w14:textId="433ECEAB" w:rsidR="00030EAD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5412F3">
              <w:rPr>
                <w:rFonts w:ascii="TimesNewRoman" w:eastAsiaTheme="minorHAnsi" w:hAnsi="TimesNewRoman" w:cs="TimesNewRoman"/>
                <w:lang w:val="ru-KZ"/>
              </w:rPr>
              <w:t>На территории расположения проектируемого объекта животные отсутствуют</w:t>
            </w:r>
          </w:p>
        </w:tc>
      </w:tr>
      <w:tr w:rsidR="00030EAD" w14:paraId="2C3BBB17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6CF91F89" w14:textId="4043AA45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предполагаемого места пользования животным миром и вида пользования</w:t>
            </w:r>
          </w:p>
        </w:tc>
      </w:tr>
      <w:tr w:rsidR="00030EAD" w14:paraId="1439B95F" w14:textId="77777777" w:rsidTr="00053091">
        <w:tc>
          <w:tcPr>
            <w:tcW w:w="10902" w:type="dxa"/>
          </w:tcPr>
          <w:p w14:paraId="301AEE6E" w14:textId="016E2749" w:rsidR="00030EAD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5412F3">
              <w:rPr>
                <w:rFonts w:ascii="TimesNewRoman" w:eastAsiaTheme="minorHAnsi" w:hAnsi="TimesNewRoman" w:cs="TimesNewRoman"/>
                <w:lang w:val="ru-KZ"/>
              </w:rPr>
              <w:t>Не требуется</w:t>
            </w:r>
          </w:p>
        </w:tc>
      </w:tr>
      <w:tr w:rsidR="00030EAD" w14:paraId="4D284CB9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08AAE531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иных источников приобретения объектов животного мира, их частей, дериватов и продуктов</w:t>
            </w:r>
          </w:p>
          <w:p w14:paraId="79F528B9" w14:textId="1F273F34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жизнедеятельности животных</w:t>
            </w:r>
          </w:p>
        </w:tc>
      </w:tr>
      <w:tr w:rsidR="00030EAD" w14:paraId="6F2BAD0C" w14:textId="77777777" w:rsidTr="00053091">
        <w:tc>
          <w:tcPr>
            <w:tcW w:w="10902" w:type="dxa"/>
          </w:tcPr>
          <w:p w14:paraId="089FA28D" w14:textId="1BB8BD42" w:rsidR="00030EAD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5412F3">
              <w:rPr>
                <w:rFonts w:ascii="TimesNewRoman" w:eastAsiaTheme="minorHAnsi" w:hAnsi="TimesNewRoman" w:cs="TimesNewRoman"/>
                <w:lang w:val="ru-KZ"/>
              </w:rPr>
              <w:t>Не требуется</w:t>
            </w:r>
          </w:p>
        </w:tc>
      </w:tr>
      <w:tr w:rsidR="00030EAD" w14:paraId="775D75BF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7BA801E4" w14:textId="7ED60F5C" w:rsidR="00030EAD" w:rsidRDefault="00030EAD" w:rsidP="00030EAD">
            <w:pPr>
              <w:widowControl/>
              <w:adjustRightInd w:val="0"/>
            </w:pPr>
            <w:r>
              <w:t>операций,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планируется</w:t>
            </w:r>
            <w:r>
              <w:rPr>
                <w:spacing w:val="-10"/>
              </w:rPr>
              <w:t xml:space="preserve"> </w:t>
            </w:r>
            <w:r>
              <w:t>использование</w:t>
            </w:r>
            <w:r>
              <w:rPr>
                <w:spacing w:val="-10"/>
              </w:rPr>
              <w:t xml:space="preserve"> </w:t>
            </w:r>
            <w:r>
              <w:t>объектов</w:t>
            </w:r>
            <w:r>
              <w:rPr>
                <w:spacing w:val="-10"/>
              </w:rPr>
              <w:t xml:space="preserve"> </w:t>
            </w:r>
            <w:r>
              <w:t>животного</w:t>
            </w:r>
            <w:r>
              <w:rPr>
                <w:spacing w:val="-10"/>
              </w:rPr>
              <w:t xml:space="preserve"> </w:t>
            </w:r>
            <w:r>
              <w:t>мира</w:t>
            </w:r>
          </w:p>
        </w:tc>
      </w:tr>
      <w:tr w:rsidR="00030EAD" w14:paraId="056BFC0C" w14:textId="77777777" w:rsidTr="00053091">
        <w:tc>
          <w:tcPr>
            <w:tcW w:w="10902" w:type="dxa"/>
          </w:tcPr>
          <w:p w14:paraId="269035C8" w14:textId="540F2893" w:rsidR="00030EAD" w:rsidRPr="005412F3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5412F3">
              <w:rPr>
                <w:rFonts w:ascii="TimesNewRoman" w:eastAsiaTheme="minorHAnsi" w:hAnsi="TimesNewRoman" w:cs="TimesNewRoman"/>
                <w:lang w:val="ru-KZ"/>
              </w:rPr>
              <w:t>Не требуется</w:t>
            </w:r>
          </w:p>
        </w:tc>
      </w:tr>
      <w:tr w:rsidR="00030EAD" w14:paraId="5DE3C59D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3C918790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6) иных ресурсов, необходимых для осуществления намечаемой деятельности (материалов, сырья,</w:t>
            </w:r>
          </w:p>
          <w:p w14:paraId="360A751B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изделий, электрической и тепловой энергии) с указанием источника приобретения, объемов и сроков</w:t>
            </w:r>
          </w:p>
          <w:p w14:paraId="14BE26D0" w14:textId="4A3B65D3" w:rsidR="00030EAD" w:rsidRDefault="00030EAD" w:rsidP="00030EAD">
            <w:pPr>
              <w:widowControl/>
              <w:adjustRightInd w:val="0"/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использования</w:t>
            </w:r>
          </w:p>
        </w:tc>
      </w:tr>
      <w:tr w:rsidR="00030EAD" w14:paraId="70127A9C" w14:textId="77777777" w:rsidTr="00053091">
        <w:tc>
          <w:tcPr>
            <w:tcW w:w="10902" w:type="dxa"/>
          </w:tcPr>
          <w:p w14:paraId="1014266A" w14:textId="4DF31307" w:rsidR="00030EAD" w:rsidRPr="0098470E" w:rsidRDefault="0098470E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bookmarkStart w:id="0" w:name="_Hlk190774324"/>
            <w:r>
              <w:rPr>
                <w:rFonts w:ascii="TimesNewRoman" w:eastAsiaTheme="minorHAnsi" w:hAnsi="TimesNewRoman" w:cs="TimesNewRoman"/>
              </w:rPr>
              <w:t>Сырье для строительства поставляется от казахстанских поставщиков и импортёров, согласно смете. Сроки использования – 1,5 года (ограничены периодом строительства). В период эксплуатации не требуется</w:t>
            </w:r>
          </w:p>
        </w:tc>
      </w:tr>
      <w:bookmarkEnd w:id="0"/>
      <w:tr w:rsidR="00030EAD" w14:paraId="0160ACC3" w14:textId="77777777" w:rsidTr="00053091">
        <w:tc>
          <w:tcPr>
            <w:tcW w:w="10902" w:type="dxa"/>
            <w:shd w:val="clear" w:color="auto" w:fill="DAEEF3" w:themeFill="accent5" w:themeFillTint="33"/>
          </w:tcPr>
          <w:p w14:paraId="639361B1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7) риски истощения используемых природных ресурсов, обусловленные их дефицитностью,</w:t>
            </w:r>
          </w:p>
          <w:p w14:paraId="042B04B8" w14:textId="2817A4DC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уникальностью и (или) невозобновляемостью</w:t>
            </w:r>
          </w:p>
        </w:tc>
      </w:tr>
      <w:tr w:rsidR="00030EAD" w14:paraId="0342460B" w14:textId="77777777" w:rsidTr="00053091">
        <w:tc>
          <w:tcPr>
            <w:tcW w:w="10902" w:type="dxa"/>
          </w:tcPr>
          <w:p w14:paraId="79BA830B" w14:textId="6A0AE3F7" w:rsidR="00030EAD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5412F3">
              <w:rPr>
                <w:rFonts w:ascii="TimesNewRoman" w:eastAsiaTheme="minorHAnsi" w:hAnsi="TimesNewRoman" w:cs="TimesNewRoman"/>
                <w:lang w:val="ru-KZ"/>
              </w:rPr>
              <w:t>нет</w:t>
            </w:r>
          </w:p>
        </w:tc>
      </w:tr>
      <w:tr w:rsidR="00030EAD" w14:paraId="6EC4BE6A" w14:textId="77777777" w:rsidTr="00053091">
        <w:tc>
          <w:tcPr>
            <w:tcW w:w="10902" w:type="dxa"/>
            <w:shd w:val="clear" w:color="auto" w:fill="C6D9F1" w:themeFill="text2" w:themeFillTint="33"/>
          </w:tcPr>
          <w:p w14:paraId="12EB75B7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9. Описание ожидаемых выбросов загрязняющих веществ в атмосферу: наименования</w:t>
            </w:r>
          </w:p>
          <w:p w14:paraId="6E0F963D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загрязняющих веществ, их классы опасности, предполагаемые объемы выбросов, сведения о веществах,</w:t>
            </w:r>
          </w:p>
          <w:p w14:paraId="1064A7F3" w14:textId="4877A6E5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входящих в перечень загрязнителей, данные по которым подлежат внесению в регистр выбросов и переноса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загрязнителей в соответствии с правилами ведения регистра выбросов и переноса загрязнителей,</w:t>
            </w:r>
          </w:p>
          <w:p w14:paraId="008BDB44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утвержденными уполномоченным органом (далее – правила ведения регистра выбросов и переноса</w:t>
            </w:r>
          </w:p>
          <w:p w14:paraId="4889EFE3" w14:textId="106765D8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загрязнителей)</w:t>
            </w:r>
          </w:p>
        </w:tc>
      </w:tr>
      <w:tr w:rsidR="00030EAD" w:rsidRPr="00622A9F" w14:paraId="3701557B" w14:textId="77777777" w:rsidTr="00053091">
        <w:tc>
          <w:tcPr>
            <w:tcW w:w="10902" w:type="dxa"/>
          </w:tcPr>
          <w:p w14:paraId="367EBC0F" w14:textId="62A81EE5" w:rsidR="00030EAD" w:rsidRPr="00622A9F" w:rsidRDefault="00030EAD" w:rsidP="00622A9F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FC1189">
              <w:rPr>
                <w:rFonts w:ascii="TimesNewRoman" w:eastAsiaTheme="minorHAnsi" w:hAnsi="TimesNewRoman" w:cs="TimesNewRoman"/>
                <w:lang w:val="ru-KZ"/>
              </w:rPr>
              <w:t xml:space="preserve">Строительные работы будут проводиться в течение </w:t>
            </w:r>
            <w:r w:rsidR="00622A9F" w:rsidRPr="00622A9F">
              <w:rPr>
                <w:rFonts w:ascii="TimesNewRoman" w:eastAsiaTheme="minorHAnsi" w:hAnsi="TimesNewRoman" w:cs="TimesNewRoman"/>
                <w:lang w:val="ru-KZ"/>
              </w:rPr>
              <w:t>18</w:t>
            </w:r>
            <w:r w:rsidRPr="00FC1189">
              <w:rPr>
                <w:rFonts w:ascii="TimesNewRoman" w:eastAsiaTheme="minorHAnsi" w:hAnsi="TimesNewRoman" w:cs="TimesNewRoman"/>
                <w:lang w:val="ru-KZ"/>
              </w:rPr>
              <w:t xml:space="preserve"> месяц</w:t>
            </w:r>
            <w:r w:rsidR="00622A9F" w:rsidRPr="00622A9F">
              <w:rPr>
                <w:rFonts w:ascii="TimesNewRoman" w:eastAsiaTheme="minorHAnsi" w:hAnsi="TimesNewRoman" w:cs="TimesNewRoman"/>
                <w:lang w:val="ru-KZ"/>
              </w:rPr>
              <w:t>ев</w:t>
            </w:r>
            <w:r w:rsidRPr="00FC1189">
              <w:rPr>
                <w:rFonts w:ascii="TimesNewRoman" w:eastAsiaTheme="minorHAnsi" w:hAnsi="TimesNewRoman" w:cs="TimesNewRoman"/>
                <w:lang w:val="ru-KZ"/>
              </w:rPr>
              <w:t xml:space="preserve"> при участии </w:t>
            </w:r>
            <w:r w:rsidR="00622A9F" w:rsidRPr="00622A9F">
              <w:rPr>
                <w:rFonts w:ascii="TimesNewRoman" w:eastAsiaTheme="minorHAnsi" w:hAnsi="TimesNewRoman" w:cs="TimesNewRoman"/>
                <w:lang w:val="ru-KZ"/>
              </w:rPr>
              <w:t>7</w:t>
            </w:r>
            <w:r w:rsidRPr="00FC1189">
              <w:rPr>
                <w:rFonts w:ascii="TimesNewRoman" w:eastAsiaTheme="minorHAnsi" w:hAnsi="TimesNewRoman" w:cs="TimesNewRoman"/>
                <w:lang w:val="ru-KZ"/>
              </w:rPr>
              <w:t>0 человек. Начало строительства – 202</w:t>
            </w:r>
            <w:r w:rsidR="00622A9F" w:rsidRPr="00622A9F">
              <w:rPr>
                <w:rFonts w:ascii="TimesNewRoman" w:eastAsiaTheme="minorHAnsi" w:hAnsi="TimesNewRoman" w:cs="TimesNewRoman"/>
                <w:lang w:val="ru-KZ"/>
              </w:rPr>
              <w:t>6</w:t>
            </w:r>
            <w:r w:rsidRPr="00FC1189">
              <w:rPr>
                <w:rFonts w:ascii="TimesNewRoman" w:eastAsiaTheme="minorHAnsi" w:hAnsi="TimesNewRoman" w:cs="TimesNewRoman"/>
                <w:lang w:val="ru-KZ"/>
              </w:rPr>
              <w:t xml:space="preserve"> год. Выбросы будут осуществляться от земляных и буровых работ, использования инертных материалов, сварочных, покрасочных, битумных, медницких работ, металлообработки, ДЭС и компрессора, сварки пластиковых труб, газовых горелок, автотранспорта. Всего выделяется 1 неорганизованный источник выбросов, № 7001 – площадка строительства. </w:t>
            </w:r>
            <w:r w:rsidR="00622A9F" w:rsidRPr="00622A9F">
              <w:rPr>
                <w:rFonts w:ascii="TimesNewRoman" w:eastAsiaTheme="minorHAnsi" w:hAnsi="TimesNewRoman" w:cs="TimesNewRoman"/>
                <w:lang w:val="ru-KZ"/>
              </w:rPr>
              <w:t xml:space="preserve">Всего в период строительства выбрасывается 29 загрязняющих веществ в количестве 1,15890401 г/с, 16,8981793 т/год, в том числе: оксиды железа (3 класс) – 0,006733 г/с, 0,264537 т/год, оксид кальция (0 класс) – 0,002489 г/с, 0,00209 т/год, марганец и его соединения (2 класс) – 0,000792 г/с, 0,030733 т/год, оксид олова (3 класс) – 0,000031 г/с, 0,000015 т/год, свинец и его неорганические соединения (1 класс) – 0,000055 г/с, 0,000027 т/год, диоксид азота (2 класс) – 0,241348 г/с, 1,897727 т/год, оксид азота (3 класс) – 0,021848 г/с, 0,094663 т/год, углерод (3 класс) – 0,039766 г/с, 0,254397 т/год, диоксид серы (3 класс) – 0,036389 г/с, 0,255504 т/год, оксид углерода (4 класс) – 0,171277 г/с, 2,514569 т/год, фтористые газообразные соединения (2 класс) – 0,000388 г/с, 0,000317 т/год, фториды неорганические плохо растворимые (2 класс) – 0,000417 г/с, 0,003024 т/год, диметилбензол (3 класс) – 0,013889 г/с, 1,800641 т/год, метилбензол (3 класс) – 0,017222 г/с, 0,251197 т/год, бензапирен (1 класс) – 0,00000001 г/с, 0,0000003 т/год, 2-этоксиэтанол (0 класс) – 0,004259 г/с, 0,211903 т/год, бутилацетат (4 класс) – 0,003333 г/с, 0,041709 т/год, формальдегид (2 класс) – 0,000167 г/с, 0,003395 т/год, пропан-2-он (4 класс) – 0,027778 г/с, 0,640605 т/год, уксусная кислота (3 класс) – 0,000139 г/с, 0,000313 т/год, бензин (4 класс) – 0,006475 г/с, 0,000443 т/год, керосин (0 класс) – 0,091178 г/с, 0,498016 т/год, скипидар (4 класс) – 0,006475 г/с, 0,000443 т/год, уайт-спирит (0 класс) – 0,027778 г/с, 1,260964 т/год, углеводороды предельные С12-С19 (4 класс) – 0,02465 г/с, 0,190565 </w:t>
            </w:r>
            <w:r w:rsidR="00622A9F" w:rsidRPr="00622A9F">
              <w:rPr>
                <w:rFonts w:ascii="TimesNewRoman" w:eastAsiaTheme="minorHAnsi" w:hAnsi="TimesNewRoman" w:cs="TimesNewRoman"/>
                <w:lang w:val="ru-KZ"/>
              </w:rPr>
              <w:lastRenderedPageBreak/>
              <w:t>т/год, взвешенные частицы (3 класс) – 0,0058 г/с, 0,042013 т/год, пыль неорганическая с содержанием диоксида кремния 70-20 % (3 класс) – 0,394672 г/с, 6,637969 т/год, пыль неорганическая гипсового вяжущего из фосфогипса с цементом (0 класс) – 0,009956 г/с, 0,000134 т/год, пыль абразивная (0 класс) – 0,0036 г/с, 0,000266 т/год</w:t>
            </w:r>
            <w:r w:rsidR="00622A9F">
              <w:rPr>
                <w:rFonts w:ascii="TimesNewRoman" w:eastAsiaTheme="minorHAnsi" w:hAnsi="TimesNewRoman" w:cs="TimesNewRoman"/>
              </w:rPr>
              <w:t>. В период эксплуатации выбросов не будет</w:t>
            </w:r>
          </w:p>
        </w:tc>
      </w:tr>
      <w:tr w:rsidR="00030EAD" w14:paraId="3C6DEB43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4A05C13D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lastRenderedPageBreak/>
              <w:t>10. Описание сбросов загрязняющих веществ: наименования загрязняющих веществ, их классы</w:t>
            </w:r>
          </w:p>
          <w:p w14:paraId="59D30C89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опасности, предполагаемые объемы сбросов, сведения о веществах, входящих в перечень загрязнителей,</w:t>
            </w:r>
          </w:p>
          <w:p w14:paraId="1094D9A3" w14:textId="023F459D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данные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>,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 xml:space="preserve"> по которым подлежат внесению в регистр выбросов и переноса загрязнителей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>,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 xml:space="preserve"> в соответствии с</w:t>
            </w:r>
          </w:p>
          <w:p w14:paraId="2DE16F0C" w14:textId="396DEAFA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правилами ведения регистра выбросов и переноса загрязнителей</w:t>
            </w:r>
          </w:p>
        </w:tc>
      </w:tr>
      <w:tr w:rsidR="00030EAD" w14:paraId="52878310" w14:textId="77777777" w:rsidTr="00053091">
        <w:tc>
          <w:tcPr>
            <w:tcW w:w="10902" w:type="dxa"/>
          </w:tcPr>
          <w:p w14:paraId="4647FB7B" w14:textId="663E476E" w:rsidR="00030EAD" w:rsidRPr="00E436A7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E436A7">
              <w:rPr>
                <w:rFonts w:ascii="TimesNewRoman" w:eastAsiaTheme="minorHAnsi" w:hAnsi="TimesNewRoman" w:cs="TimesNewRoman"/>
                <w:lang w:val="ru-KZ"/>
              </w:rPr>
              <w:t xml:space="preserve">Предусмотренной технологией производства работ, исключены любые сбросы сточных или других вод в поверхностные и подземные водные объекты, недра или на земную поверхность. В период строительства </w:t>
            </w:r>
            <w:r>
              <w:rPr>
                <w:rFonts w:ascii="TimesNewRoman" w:eastAsiaTheme="minorHAnsi" w:hAnsi="TimesNewRoman" w:cs="TimesNewRoman"/>
              </w:rPr>
              <w:t>о</w:t>
            </w:r>
            <w:r w:rsidRPr="00E436A7">
              <w:rPr>
                <w:rFonts w:ascii="TimesNewRoman" w:eastAsiaTheme="minorHAnsi" w:hAnsi="TimesNewRoman" w:cs="TimesNewRoman"/>
                <w:lang w:val="ru-KZ"/>
              </w:rPr>
              <w:t xml:space="preserve">тведение бытовых стоков – </w:t>
            </w:r>
            <w:r w:rsidR="000662D2" w:rsidRPr="000662D2">
              <w:rPr>
                <w:rFonts w:ascii="TimesNewRoman" w:eastAsiaTheme="minorHAnsi" w:hAnsi="TimesNewRoman" w:cs="TimesNewRoman"/>
                <w:lang w:val="ru-KZ"/>
              </w:rPr>
              <w:t>в биотуалет с последующим вывозом стоков специализированной организацией</w:t>
            </w:r>
            <w:r w:rsidR="000662D2">
              <w:rPr>
                <w:rFonts w:ascii="TimesNewRoman" w:eastAsiaTheme="minorHAnsi" w:hAnsi="TimesNewRoman" w:cs="TimesNewRoman"/>
              </w:rPr>
              <w:t>.</w:t>
            </w:r>
            <w:r w:rsidR="000662D2" w:rsidRPr="000662D2">
              <w:rPr>
                <w:rFonts w:ascii="TimesNewRoman" w:eastAsiaTheme="minorHAnsi" w:hAnsi="TimesNewRoman" w:cs="TimesNewRoman"/>
                <w:lang w:val="ru-KZ"/>
              </w:rPr>
              <w:t xml:space="preserve"> </w:t>
            </w:r>
            <w:r w:rsidRPr="00E436A7">
              <w:rPr>
                <w:rFonts w:ascii="TimesNewRoman" w:eastAsiaTheme="minorHAnsi" w:hAnsi="TimesNewRoman" w:cs="TimesNewRoman"/>
                <w:lang w:val="ru-KZ"/>
              </w:rPr>
              <w:t>Техническая вода используется безвозвратно, для уплотнения грунтов и пылеподавления.</w:t>
            </w:r>
            <w:r w:rsidR="000662D2">
              <w:t xml:space="preserve">  </w:t>
            </w:r>
            <w:r w:rsidR="000662D2" w:rsidRPr="000662D2">
              <w:rPr>
                <w:rFonts w:ascii="TimesNewRoman" w:eastAsiaTheme="minorHAnsi" w:hAnsi="TimesNewRoman" w:cs="TimesNewRoman"/>
                <w:lang w:val="ru-KZ"/>
              </w:rPr>
              <w:t xml:space="preserve">Вода после промывки </w:t>
            </w:r>
            <w:r w:rsidR="000662D2">
              <w:rPr>
                <w:rFonts w:ascii="TimesNewRoman" w:eastAsiaTheme="minorHAnsi" w:hAnsi="TimesNewRoman" w:cs="TimesNewRoman"/>
              </w:rPr>
              <w:t xml:space="preserve">труб </w:t>
            </w:r>
            <w:r w:rsidR="000662D2" w:rsidRPr="000662D2">
              <w:rPr>
                <w:rFonts w:ascii="TimesNewRoman" w:eastAsiaTheme="minorHAnsi" w:hAnsi="TimesNewRoman" w:cs="TimesNewRoman"/>
                <w:lang w:val="ru-KZ"/>
              </w:rPr>
              <w:t>вывозится специализированной организацией</w:t>
            </w:r>
            <w:r w:rsidR="000662D2">
              <w:rPr>
                <w:rFonts w:ascii="TimesNewRoman" w:eastAsiaTheme="minorHAnsi" w:hAnsi="TimesNewRoman" w:cs="TimesNewRoman"/>
              </w:rPr>
              <w:t>.</w:t>
            </w:r>
            <w:r w:rsidRPr="00E436A7">
              <w:rPr>
                <w:rFonts w:ascii="TimesNewRoman" w:eastAsiaTheme="minorHAnsi" w:hAnsi="TimesNewRoman" w:cs="TimesNewRoman"/>
                <w:lang w:val="ru-KZ"/>
              </w:rPr>
              <w:t xml:space="preserve"> </w:t>
            </w:r>
            <w:r>
              <w:rPr>
                <w:rFonts w:ascii="TimesNewRoman" w:eastAsiaTheme="minorHAnsi" w:hAnsi="TimesNewRoman" w:cs="TimesNewRoman"/>
              </w:rPr>
              <w:t xml:space="preserve">Объем </w:t>
            </w:r>
            <w:r w:rsidR="000662D2">
              <w:rPr>
                <w:rFonts w:ascii="TimesNewRoman" w:eastAsiaTheme="minorHAnsi" w:hAnsi="TimesNewRoman" w:cs="TimesNewRoman"/>
              </w:rPr>
              <w:t xml:space="preserve">бытовых стоков </w:t>
            </w:r>
            <w:r>
              <w:rPr>
                <w:rFonts w:ascii="TimesNewRoman" w:eastAsiaTheme="minorHAnsi" w:hAnsi="TimesNewRoman" w:cs="TimesNewRoman"/>
              </w:rPr>
              <w:t xml:space="preserve">в период строительства составит </w:t>
            </w:r>
            <w:r w:rsidR="000662D2">
              <w:rPr>
                <w:rFonts w:ascii="TimesNewRoman" w:eastAsiaTheme="minorHAnsi" w:hAnsi="TimesNewRoman" w:cs="TimesNewRoman"/>
              </w:rPr>
              <w:t>0,457 тыс.</w:t>
            </w:r>
            <w:r w:rsidRPr="00E436A7">
              <w:rPr>
                <w:rFonts w:ascii="TimesNewRoman" w:eastAsiaTheme="minorHAnsi" w:hAnsi="TimesNewRoman" w:cs="TimesNewRoman"/>
                <w:lang w:val="ru-KZ"/>
              </w:rPr>
              <w:t xml:space="preserve"> м³/год</w:t>
            </w:r>
            <w:r w:rsidR="000662D2">
              <w:rPr>
                <w:rFonts w:ascii="TimesNewRoman" w:eastAsiaTheme="minorHAnsi" w:hAnsi="TimesNewRoman" w:cs="TimesNewRoman"/>
              </w:rPr>
              <w:t>, объем вывоза стоков от промывки труб – 35,3 тыс. м³/год. Объем безвозвратного потребления – 11,397 тыс. м³/год. В период эксплуатации водоотведения не будет</w:t>
            </w:r>
          </w:p>
        </w:tc>
      </w:tr>
      <w:tr w:rsidR="00030EAD" w14:paraId="37496784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318A93BE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11. Описание отходов, управление которыми относится к намечаемой деятельности: наименования</w:t>
            </w:r>
          </w:p>
          <w:p w14:paraId="2C52AD33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отходов, их виды, предполагаемые объемы, операции, в результате которых они образуются, сведения о</w:t>
            </w:r>
          </w:p>
          <w:p w14:paraId="7ACB5ACF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наличии или отсутствии возможности превышения пороговых значений, установленных для переноса</w:t>
            </w:r>
          </w:p>
          <w:p w14:paraId="005AD27B" w14:textId="6667BCDF" w:rsidR="00030EAD" w:rsidRPr="00F0505B" w:rsidRDefault="00030EAD" w:rsidP="00030EAD">
            <w:pPr>
              <w:widowControl/>
              <w:adjustRightInd w:val="0"/>
              <w:rPr>
                <w:color w:val="E36C0A" w:themeColor="accent6" w:themeShade="BF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отходов правилами ведения регистра выбросов и переноса загрязнителей</w:t>
            </w:r>
          </w:p>
        </w:tc>
      </w:tr>
      <w:tr w:rsidR="00030EAD" w14:paraId="0E93DB01" w14:textId="77777777" w:rsidTr="00053091">
        <w:tc>
          <w:tcPr>
            <w:tcW w:w="10902" w:type="dxa"/>
          </w:tcPr>
          <w:p w14:paraId="3DDE273B" w14:textId="29E5922D" w:rsidR="00030EAD" w:rsidRPr="003E3CDE" w:rsidRDefault="003E3CDE" w:rsidP="003E3CDE">
            <w:pPr>
              <w:jc w:val="both"/>
              <w:rPr>
                <w:rFonts w:ascii="TimesNewRoman" w:eastAsiaTheme="minorHAnsi" w:hAnsi="TimesNewRoman" w:cs="TimesNewRoman"/>
              </w:rPr>
            </w:pPr>
            <w:r>
              <w:rPr>
                <w:rFonts w:ascii="Calibri" w:hAnsi="Calibri" w:cs="Calibri"/>
                <w:color w:val="000000"/>
              </w:rPr>
              <w:t xml:space="preserve">В период строительства образуются 8 видов отходов в количестве 398,523 т/год, в том числе: ТБО (код: 20 03 01) – 5,25 т/год, строительные отходы (код: 17 09 04) – 334,7 т/год, огарки сварочных электродов (код: 12 01 13) – 0,285 т/год, тара из-под ЛКМ (код: 15 01 10*) – 0,829 т/год, ветошь промасленная (код: 15 02 02*) – 3,481 т/год, лом чёрных металлов (код: 17 04 05) – 53,33 т/год, обломки и остатки пластиковых труб (код: 17 02 03) – 0,14 т/год, отходы кабеля (код: 17 04 11) – 0,508 т/год. Все отходы накапливаются в установленных местах на территории строительной площадки и вывозятся в специализированные организации для утилизации или захоронения. </w:t>
            </w:r>
            <w:r w:rsidR="00030EAD" w:rsidRPr="00996ED6">
              <w:rPr>
                <w:rFonts w:ascii="TimesNewRoman" w:eastAsiaTheme="minorHAnsi" w:hAnsi="TimesNewRoman" w:cs="TimesNewRoman"/>
                <w:lang w:val="ru-KZ"/>
              </w:rPr>
              <w:t xml:space="preserve">В период эксплуатации </w:t>
            </w:r>
            <w:r>
              <w:rPr>
                <w:rFonts w:ascii="TimesNewRoman" w:eastAsiaTheme="minorHAnsi" w:hAnsi="TimesNewRoman" w:cs="TimesNewRoman"/>
              </w:rPr>
              <w:t>отходы не образуются</w:t>
            </w:r>
          </w:p>
        </w:tc>
      </w:tr>
      <w:tr w:rsidR="00030EAD" w14:paraId="40C7E585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6FFC5BB6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12. Перечень разрешений, наличие которых предположительно потребуется для осуществления</w:t>
            </w:r>
          </w:p>
          <w:p w14:paraId="551925B1" w14:textId="3F5752C6" w:rsidR="00030EAD" w:rsidRPr="00F0505B" w:rsidRDefault="00030EAD" w:rsidP="00030EAD">
            <w:pPr>
              <w:widowControl/>
              <w:adjustRightInd w:val="0"/>
              <w:rPr>
                <w:color w:val="E36C0A" w:themeColor="accent6" w:themeShade="BF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намечаемой деятельности, и государственных органов, в чью компетенцию входит выдача таких разрешений</w:t>
            </w:r>
          </w:p>
        </w:tc>
      </w:tr>
      <w:tr w:rsidR="00030EAD" w14:paraId="4739A875" w14:textId="77777777" w:rsidTr="00053091">
        <w:tc>
          <w:tcPr>
            <w:tcW w:w="10902" w:type="dxa"/>
          </w:tcPr>
          <w:p w14:paraId="20CBD867" w14:textId="26DE3780" w:rsidR="00030EAD" w:rsidRPr="005F1FBC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996ED6">
              <w:rPr>
                <w:rFonts w:ascii="TimesNewRoman" w:eastAsiaTheme="minorHAnsi" w:hAnsi="TimesNewRoman" w:cs="TimesNewRoman"/>
                <w:lang w:val="ru-KZ"/>
              </w:rPr>
              <w:t xml:space="preserve">РГУ «Ертисская бассейновая инспекция по регулированию использования и охране водных ресурсов» – </w:t>
            </w:r>
            <w:r w:rsidR="005F1FBC">
              <w:rPr>
                <w:rFonts w:ascii="TimesNewRoman" w:eastAsiaTheme="minorHAnsi" w:hAnsi="TimesNewRoman" w:cs="TimesNewRoman"/>
              </w:rPr>
              <w:t>согласование проведения работ в водоохранных зонах и полосах</w:t>
            </w:r>
            <w:r w:rsidRPr="00996ED6">
              <w:rPr>
                <w:rFonts w:ascii="TimesNewRoman" w:eastAsiaTheme="minorHAnsi" w:hAnsi="TimesNewRoman" w:cs="TimesNewRoman"/>
                <w:lang w:val="ru-KZ"/>
              </w:rPr>
              <w:t>, РГУ «</w:t>
            </w:r>
            <w:r w:rsidR="005F1FBC">
              <w:rPr>
                <w:rFonts w:ascii="TimesNewRoman" w:eastAsiaTheme="minorHAnsi" w:hAnsi="TimesNewRoman" w:cs="TimesNewRoman"/>
              </w:rPr>
              <w:t>Управление природных ресурсов и регулирования природопользования по ВКО</w:t>
            </w:r>
            <w:r w:rsidRPr="00996ED6">
              <w:rPr>
                <w:rFonts w:ascii="TimesNewRoman" w:eastAsiaTheme="minorHAnsi" w:hAnsi="TimesNewRoman" w:cs="TimesNewRoman"/>
                <w:lang w:val="ru-KZ"/>
              </w:rPr>
              <w:t>»</w:t>
            </w:r>
            <w:r w:rsidR="005F1FBC">
              <w:rPr>
                <w:rFonts w:ascii="TimesNewRoman" w:eastAsiaTheme="minorHAnsi" w:hAnsi="TimesNewRoman" w:cs="TimesNewRoman"/>
              </w:rPr>
              <w:t xml:space="preserve"> </w:t>
            </w:r>
            <w:r w:rsidRPr="00996ED6">
              <w:rPr>
                <w:rFonts w:ascii="TimesNewRoman" w:eastAsiaTheme="minorHAnsi" w:hAnsi="TimesNewRoman" w:cs="TimesNewRoman"/>
                <w:lang w:val="ru-KZ"/>
              </w:rPr>
              <w:t xml:space="preserve">– </w:t>
            </w:r>
            <w:r w:rsidR="005F1FBC">
              <w:rPr>
                <w:rFonts w:ascii="TimesNewRoman" w:eastAsiaTheme="minorHAnsi" w:hAnsi="TimesNewRoman" w:cs="TimesNewRoman"/>
              </w:rPr>
              <w:t>выдача заключения государственной экспертизы на объект 3 категории</w:t>
            </w:r>
          </w:p>
        </w:tc>
      </w:tr>
      <w:tr w:rsidR="00030EAD" w14:paraId="7703DEC5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41FA76E7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13. Краткое описание текущего состояния компонентов окружающей среды на территории и</w:t>
            </w:r>
          </w:p>
          <w:p w14:paraId="40B047E5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(или) в акватории, на которых предполагается осуществление намечаемой деятельности, в сравнении с</w:t>
            </w:r>
          </w:p>
          <w:p w14:paraId="45C2FD13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экологическими нормативами или целевыми показателями качества окружающей среды, а при их</w:t>
            </w:r>
          </w:p>
          <w:p w14:paraId="6473966B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отсутствии – с гигиеническими нормативами; результаты фоновых исследований, если таковые имеются у</w:t>
            </w:r>
          </w:p>
          <w:p w14:paraId="415E82E1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инициатора; вывод о необходимости или отсутствии необходимости проведения полевых исследований</w:t>
            </w:r>
          </w:p>
          <w:p w14:paraId="4B0E19E2" w14:textId="256B0EE2" w:rsidR="00030EAD" w:rsidRPr="00F0505B" w:rsidRDefault="00030EAD" w:rsidP="00030EAD">
            <w:pPr>
              <w:widowControl/>
              <w:adjustRightInd w:val="0"/>
              <w:rPr>
                <w:color w:val="E36C0A" w:themeColor="accent6" w:themeShade="BF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(при отсутствии или недостаточности результатов фоновых исследований, наличии в предполагаемом месте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осуществления намечаемой деятельности объектов, воздействие которых на окружающую среду не изучено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или изучено недостаточно, включая объекты исторических загрязнений, бывшие военные полигоны и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другие объекты)</w:t>
            </w:r>
          </w:p>
        </w:tc>
      </w:tr>
      <w:tr w:rsidR="00030EAD" w14:paraId="68F21490" w14:textId="77777777" w:rsidTr="00053091">
        <w:tc>
          <w:tcPr>
            <w:tcW w:w="10902" w:type="dxa"/>
          </w:tcPr>
          <w:p w14:paraId="3863D513" w14:textId="3C41E318" w:rsidR="00030EAD" w:rsidRPr="00FE43E6" w:rsidRDefault="008C2408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8C2408">
              <w:rPr>
                <w:rFonts w:ascii="TimesNewRoman" w:eastAsiaTheme="minorHAnsi" w:hAnsi="TimesNewRoman" w:cs="TimesNewRoman"/>
                <w:lang w:val="ru-KZ"/>
              </w:rPr>
              <w:t>Наблюдения за состоянием атмосферного воздуха на территории г. Усть-Каменогорска проводятся на 15 постах наблюдения, из них 5 постов ручного/автоматического отбора проб и 5 автоматических станции. В целом по городу определяется 21 показатель: взвешенные частицы РМ-2,5, взвешенные частицы РМ-10, диоксид серы, оксид углерода, диоксид азота, оксид азота, фенол, сероводород, фтористый водород, бенз(а)пирен, хлористый водород, формальдегид, хлор, серная кислота, свинец, цинк, кадмий, медь, бериллий, озон, аммиак. Сведения о фоновых концентрациях загрязняющих веществ в атмосферном воздухе на участке строительства приведены по данным РГП «Казгидромет» и составляют: азота диоксид – 0,0943 мг/м³; взвешенные вещества – 0,1674 мг/м³; серы диоксид – 0,3072 мг/м³; углерода оксид – 3,0436 мг/м³; азота оксид – 0,0448 мг/м³. Фоновое содержание загрязняющих веществ в атмосферном воздухе в районе строительства не превышает предельно-допустимых концентраций</w:t>
            </w:r>
          </w:p>
        </w:tc>
      </w:tr>
      <w:tr w:rsidR="00030EAD" w14:paraId="5435808A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2241DFDA" w14:textId="7E50655D" w:rsidR="00030EAD" w:rsidRPr="00DA5663" w:rsidRDefault="00030EAD" w:rsidP="008C2408">
            <w:pPr>
              <w:widowControl/>
              <w:adjustRightInd w:val="0"/>
              <w:rPr>
                <w:color w:val="E36C0A" w:themeColor="accent6" w:themeShade="BF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14. Характеристика возможных форм негативного и положительного воздействий на</w:t>
            </w:r>
            <w:r w:rsidR="008C2408"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окружающую среду в результате осуществления намечаемой деятельности, их характер и ожидаемые</w:t>
            </w:r>
            <w:r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масштабы с учетом их вероятности, продолжительности, частоты и обратимости, предварительная оценка</w:t>
            </w:r>
            <w:r w:rsidR="008C2408">
              <w:rPr>
                <w:rFonts w:ascii="TimesNewRoman" w:eastAsiaTheme="minorHAnsi" w:hAnsi="TimesNewRoman" w:cs="TimesNewRoman"/>
                <w:sz w:val="23"/>
                <w:szCs w:val="23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их существенности</w:t>
            </w:r>
          </w:p>
        </w:tc>
      </w:tr>
      <w:tr w:rsidR="00030EAD" w14:paraId="0F1B9781" w14:textId="77777777" w:rsidTr="00053091">
        <w:tc>
          <w:tcPr>
            <w:tcW w:w="10902" w:type="dxa"/>
          </w:tcPr>
          <w:p w14:paraId="1180A3E1" w14:textId="47676C5B" w:rsidR="00030EAD" w:rsidRPr="00F20625" w:rsidRDefault="00030EAD" w:rsidP="00F20625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316D35">
              <w:rPr>
                <w:rFonts w:ascii="TimesNewRoman" w:eastAsiaTheme="minorHAnsi" w:hAnsi="TimesNewRoman" w:cs="TimesNewRoman"/>
                <w:lang w:val="ru-KZ"/>
              </w:rPr>
              <w:lastRenderedPageBreak/>
              <w:t xml:space="preserve">Признаются возможными следующие виды воздействия. </w:t>
            </w:r>
            <w:r w:rsidR="008E7598">
              <w:rPr>
                <w:rFonts w:ascii="TimesNewRoman" w:eastAsiaTheme="minorHAnsi" w:hAnsi="TimesNewRoman" w:cs="TimesNewRoman"/>
              </w:rPr>
              <w:t xml:space="preserve">1) В период строительства образуются 2 вида опасных отходов: ветошь промасленная – 3,481 т/год и тара из-под ЛКМ – 0,829 т/год. Оба этих отхода вывозятся по мере накопления, не реже 1 раза в 6 месяцев, в специализированные организации, имеющие лицензию </w:t>
            </w:r>
            <w:r w:rsidR="008E7598" w:rsidRPr="008E7598">
              <w:rPr>
                <w:rFonts w:ascii="TimesNewRoman" w:eastAsiaTheme="minorHAnsi" w:hAnsi="TimesNewRoman" w:cs="TimesNewRoman"/>
              </w:rPr>
              <w:t>на выполнение работ и оказание услуг в области охраны окружающей среды по соответствующему подвиду деятельности согласно требованиям Закона Республики Казахстан "О разрешениях и уведомлениях"</w:t>
            </w:r>
            <w:r w:rsidR="008E7598">
              <w:rPr>
                <w:rFonts w:ascii="TimesNewRoman" w:eastAsiaTheme="minorHAnsi" w:hAnsi="TimesNewRoman" w:cs="TimesNewRoman"/>
              </w:rPr>
              <w:t>. 2) В период строительства производятся выбросы загрязняющих веществ в атмосферу в количестве 16,8981793 т/год, при этом источник выбросов перемещается по мере продвижения трассы, длина которой 18287,56 м. Таким образом, обеспечится рассеивание загрязняющих веществ и отсутствие воздействия на жилую зону. 3) Физические воздействия проявляются в шумовом воздействии, которое согласно проведенному расчету, будет иметь допустимый уровень в жилой зоне.</w:t>
            </w:r>
            <w:r w:rsidR="00E44F41">
              <w:rPr>
                <w:rFonts w:ascii="TimesNewRoman" w:eastAsiaTheme="minorHAnsi" w:hAnsi="TimesNewRoman" w:cs="TimesNewRoman"/>
              </w:rPr>
              <w:t xml:space="preserve"> </w:t>
            </w:r>
            <w:r w:rsidR="00F20625">
              <w:rPr>
                <w:rFonts w:ascii="TimesNewRoman" w:eastAsiaTheme="minorHAnsi" w:hAnsi="TimesNewRoman" w:cs="TimesNewRoman"/>
              </w:rPr>
              <w:t>4) Вырубка зеленых насаждений в количестве 6035 шт. будет сопровождаться компенсационной посадкой в 10-кратном размере и обеспечением уходовых работ в течение 2-3 лет, что позволит нивелировать воздействие на окружающую среду</w:t>
            </w:r>
            <w:r w:rsidR="00DE18CE">
              <w:rPr>
                <w:rFonts w:ascii="TimesNewRoman" w:eastAsiaTheme="minorHAnsi" w:hAnsi="TimesNewRoman" w:cs="TimesNewRoman"/>
              </w:rPr>
              <w:t>. 5) Работы в водоохранных зонах и полосах будут осуществляться по согласованию с бассейновой инспекцией, с учётом комплекса водоохранных мероприятий, что исключит воздействие на водные объекты. В целом – деятельность по прокладке тепловой сети в течение 18 месяцев не окажет значимого воздействия на окружающую среду</w:t>
            </w:r>
          </w:p>
        </w:tc>
      </w:tr>
      <w:tr w:rsidR="00030EAD" w14:paraId="282691AE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2F3926B0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15. Характеристика возможных форм трансграничных воздействий на окружающую среду, их</w:t>
            </w:r>
          </w:p>
          <w:p w14:paraId="19FD5EB2" w14:textId="3E8DF2F2" w:rsidR="00030EAD" w:rsidRPr="00F0505B" w:rsidRDefault="00030EAD" w:rsidP="00030EAD">
            <w:pPr>
              <w:widowControl/>
              <w:adjustRightInd w:val="0"/>
              <w:rPr>
                <w:color w:val="E36C0A" w:themeColor="accent6" w:themeShade="BF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характер и ожидаемые масштабы с учетом их вероятности, продолжительности, частоты и обратимости</w:t>
            </w:r>
          </w:p>
        </w:tc>
      </w:tr>
      <w:tr w:rsidR="00030EAD" w14:paraId="700AA529" w14:textId="77777777" w:rsidTr="00053091">
        <w:tc>
          <w:tcPr>
            <w:tcW w:w="10902" w:type="dxa"/>
          </w:tcPr>
          <w:p w14:paraId="3978F2E2" w14:textId="1C973FD6" w:rsidR="00030EAD" w:rsidRPr="000E4F32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  <w:lang w:val="ru-KZ"/>
              </w:rPr>
            </w:pPr>
            <w:r w:rsidRPr="000E4F32">
              <w:rPr>
                <w:rFonts w:ascii="TimesNewRoman" w:eastAsiaTheme="minorHAnsi" w:hAnsi="TimesNewRoman" w:cs="TimesNewRoman"/>
                <w:lang w:val="ru-KZ"/>
              </w:rPr>
              <w:t>Отсутствуют</w:t>
            </w:r>
          </w:p>
        </w:tc>
      </w:tr>
      <w:tr w:rsidR="00030EAD" w14:paraId="285E05E6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3462AADB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16. Предлагаемые меры по предупреждению, исключению и снижению возможных форм</w:t>
            </w:r>
          </w:p>
          <w:p w14:paraId="355F6979" w14:textId="48416647" w:rsidR="00030EAD" w:rsidRPr="00F0505B" w:rsidRDefault="00030EAD" w:rsidP="00030EAD">
            <w:pPr>
              <w:widowControl/>
              <w:adjustRightInd w:val="0"/>
              <w:rPr>
                <w:color w:val="E36C0A" w:themeColor="accent6" w:themeShade="BF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неблагоприятного воздействия на окружающую среду, а также по устранению его последствий</w:t>
            </w:r>
          </w:p>
        </w:tc>
      </w:tr>
      <w:tr w:rsidR="00030EAD" w14:paraId="21C2C6CB" w14:textId="77777777" w:rsidTr="00053091">
        <w:tc>
          <w:tcPr>
            <w:tcW w:w="10902" w:type="dxa"/>
          </w:tcPr>
          <w:p w14:paraId="71371E84" w14:textId="77777777" w:rsidR="00C758BE" w:rsidRPr="00C758BE" w:rsidRDefault="00C758BE" w:rsidP="00C758BE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>
              <w:rPr>
                <w:rFonts w:ascii="TimesNewRoman" w:eastAsiaTheme="minorHAnsi" w:hAnsi="TimesNewRoman" w:cs="TimesNewRoman"/>
              </w:rPr>
              <w:t xml:space="preserve">Пылеподавление (увлажнение строительной площадки, укрытие сыпучих грузов, </w:t>
            </w:r>
            <w:r w:rsidRPr="00C758BE">
              <w:rPr>
                <w:rFonts w:ascii="TimesNewRoman" w:eastAsiaTheme="minorHAnsi" w:hAnsi="TimesNewRoman" w:cs="TimesNewRoman"/>
              </w:rPr>
              <w:t>использование только исправного автотранспорта и строительной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техники с допустимыми показателями содержания вредных веществ в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отработавших газах</w:t>
            </w:r>
            <w:r>
              <w:rPr>
                <w:rFonts w:ascii="TimesNewRoman" w:eastAsiaTheme="minorHAnsi" w:hAnsi="TimesNewRoman" w:cs="TimesNewRoman"/>
              </w:rPr>
              <w:t xml:space="preserve">, </w:t>
            </w:r>
            <w:r w:rsidRPr="00C758BE">
              <w:rPr>
                <w:rFonts w:ascii="TimesNewRoman" w:eastAsiaTheme="minorHAnsi" w:hAnsi="TimesNewRoman" w:cs="TimesNewRoman"/>
              </w:rPr>
              <w:t>увлажнение автодорог при транспортировке по ним сыпучих грузов в</w:t>
            </w:r>
          </w:p>
          <w:p w14:paraId="55686A4C" w14:textId="2EF32DFE" w:rsidR="00030EAD" w:rsidRPr="00C758BE" w:rsidRDefault="00C758BE" w:rsidP="00C758BE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C758BE">
              <w:rPr>
                <w:rFonts w:ascii="TimesNewRoman" w:eastAsiaTheme="minorHAnsi" w:hAnsi="TimesNewRoman" w:cs="TimesNewRoman"/>
              </w:rPr>
              <w:t>тёплый период года</w:t>
            </w:r>
            <w:r>
              <w:rPr>
                <w:rFonts w:ascii="TimesNewRoman" w:eastAsiaTheme="minorHAnsi" w:hAnsi="TimesNewRoman" w:cs="TimesNewRoman"/>
              </w:rPr>
              <w:t xml:space="preserve">, </w:t>
            </w:r>
            <w:r w:rsidRPr="00C758BE">
              <w:rPr>
                <w:rFonts w:ascii="TimesNewRoman" w:eastAsiaTheme="minorHAnsi" w:hAnsi="TimesNewRoman" w:cs="TimesNewRoman"/>
              </w:rPr>
              <w:t>контроль водопотребления и водоотведения в период строительства</w:t>
            </w:r>
            <w:r>
              <w:rPr>
                <w:rFonts w:ascii="TimesNewRoman" w:eastAsiaTheme="minorHAnsi" w:hAnsi="TimesNewRoman" w:cs="TimesNewRoman"/>
              </w:rPr>
              <w:t xml:space="preserve">, </w:t>
            </w:r>
            <w:r w:rsidRPr="00C758BE">
              <w:rPr>
                <w:rFonts w:ascii="TimesNewRoman" w:eastAsiaTheme="minorHAnsi" w:hAnsi="TimesNewRoman" w:cs="TimesNewRoman"/>
              </w:rPr>
              <w:t>обеспечить отведение стоков в период строительства в полном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соответствии с рабочим проектом, не допускать попадания сточных вод в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водные объекты;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организация системы сбора и хранения отходов, образующихся в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процессе строительства;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регулярн</w:t>
            </w:r>
            <w:r>
              <w:rPr>
                <w:rFonts w:ascii="TimesNewRoman" w:eastAsiaTheme="minorHAnsi" w:hAnsi="TimesNewRoman" w:cs="TimesNewRoman"/>
              </w:rPr>
              <w:t>ая</w:t>
            </w:r>
            <w:r w:rsidRPr="00C758BE">
              <w:rPr>
                <w:rFonts w:ascii="TimesNewRoman" w:eastAsiaTheme="minorHAnsi" w:hAnsi="TimesNewRoman" w:cs="TimesNewRoman"/>
              </w:rPr>
              <w:t xml:space="preserve"> уборк</w:t>
            </w:r>
            <w:r>
              <w:rPr>
                <w:rFonts w:ascii="TimesNewRoman" w:eastAsiaTheme="minorHAnsi" w:hAnsi="TimesNewRoman" w:cs="TimesNewRoman"/>
              </w:rPr>
              <w:t>а</w:t>
            </w:r>
            <w:r w:rsidRPr="00C758BE">
              <w:rPr>
                <w:rFonts w:ascii="TimesNewRoman" w:eastAsiaTheme="minorHAnsi" w:hAnsi="TimesNewRoman" w:cs="TimesNewRoman"/>
              </w:rPr>
              <w:t xml:space="preserve"> строительной площадки от мусора, с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вывозом отходов по договору со специализированной организацией;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запрещена организация парковки автотранспорта в границах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водоохранной полосы в период строительства;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запрещено размещение биотуалетов в период строительства в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границах водоохранной полосы;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мытье, ремонт и техническое обслуживание строительных машин и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техники осуществлять на производственных базах подрядчика и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субподрядных организаций;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заправка автотранспорта в период строительства осуществляется на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АЗС города Усть-Каменогорска;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хранение пылящих строительных материалов осуществляется в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упаковках, ящиках и контейнерах, а также на уплотненных площадках в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укрытом состоянии;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на всех видах работ применяются технически исправные машины и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механизмы с отрегулированной топливной аппаратурой, исключающей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потери ГСМ и их попадание в грунт;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проезд строительной техники может быть только по существующим</w:t>
            </w:r>
            <w:r>
              <w:rPr>
                <w:rFonts w:ascii="TimesNewRoman" w:eastAsiaTheme="minorHAnsi" w:hAnsi="TimesNewRoman" w:cs="TimesNewRoman"/>
              </w:rPr>
              <w:t xml:space="preserve"> а</w:t>
            </w:r>
            <w:r w:rsidRPr="00C758BE">
              <w:rPr>
                <w:rFonts w:ascii="TimesNewRoman" w:eastAsiaTheme="minorHAnsi" w:hAnsi="TimesNewRoman" w:cs="TimesNewRoman"/>
              </w:rPr>
              <w:t>втодорогам или по предусмотренным проектом временным дорогам;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по окончании строительных работ все временные здания и сооружения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разбираются, строительный и бытовой мусор вывозятся в места, специально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отведенные для этих целей, на территории строительной площадки</w:t>
            </w:r>
            <w:r>
              <w:rPr>
                <w:rFonts w:ascii="TimesNewRoman" w:eastAsiaTheme="minorHAnsi" w:hAnsi="TimesNewRoman" w:cs="TimesNewRoman"/>
              </w:rPr>
              <w:t xml:space="preserve"> </w:t>
            </w:r>
            <w:r w:rsidRPr="00C758BE">
              <w:rPr>
                <w:rFonts w:ascii="TimesNewRoman" w:eastAsiaTheme="minorHAnsi" w:hAnsi="TimesNewRoman" w:cs="TimesNewRoman"/>
              </w:rPr>
              <w:t>проводится благоустройство</w:t>
            </w:r>
          </w:p>
        </w:tc>
      </w:tr>
      <w:tr w:rsidR="00030EAD" w14:paraId="178C84B8" w14:textId="77777777" w:rsidTr="00053091">
        <w:tc>
          <w:tcPr>
            <w:tcW w:w="10902" w:type="dxa"/>
            <w:shd w:val="clear" w:color="auto" w:fill="DBE5F1" w:themeFill="accent1" w:themeFillTint="33"/>
          </w:tcPr>
          <w:p w14:paraId="3C512AEF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17. Описание возможных альтернатив достижения целей указанной намечаемой деятельности и</w:t>
            </w:r>
          </w:p>
          <w:p w14:paraId="10E8EE2A" w14:textId="77777777" w:rsidR="00030EAD" w:rsidRDefault="00030EAD" w:rsidP="00030EAD">
            <w:pPr>
              <w:widowControl/>
              <w:adjustRightInd w:val="0"/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вариантов ее осуществления (включая использование альтернативных технических и технологических</w:t>
            </w:r>
          </w:p>
          <w:p w14:paraId="6BD64E73" w14:textId="530584D8" w:rsidR="00030EAD" w:rsidRPr="00F0505B" w:rsidRDefault="00030EAD" w:rsidP="00030EAD">
            <w:pPr>
              <w:widowControl/>
              <w:adjustRightInd w:val="0"/>
              <w:rPr>
                <w:color w:val="E36C0A" w:themeColor="accent6" w:themeShade="BF"/>
              </w:rPr>
            </w:pPr>
            <w:r>
              <w:rPr>
                <w:rFonts w:ascii="TimesNewRoman" w:eastAsiaTheme="minorHAnsi" w:hAnsi="TimesNewRoman" w:cs="TimesNewRoman"/>
                <w:sz w:val="23"/>
                <w:szCs w:val="23"/>
                <w:lang w:val="ru-KZ"/>
              </w:rPr>
              <w:t>решений и мест расположения объекта)</w:t>
            </w:r>
          </w:p>
        </w:tc>
      </w:tr>
      <w:tr w:rsidR="00030EAD" w14:paraId="48A28D65" w14:textId="77777777" w:rsidTr="00053091">
        <w:tc>
          <w:tcPr>
            <w:tcW w:w="10902" w:type="dxa"/>
          </w:tcPr>
          <w:p w14:paraId="2D95030B" w14:textId="43BDB64E" w:rsidR="00030EAD" w:rsidRPr="00B628D9" w:rsidRDefault="00030EAD" w:rsidP="00030EAD">
            <w:pPr>
              <w:pStyle w:val="a3"/>
              <w:spacing w:line="264" w:lineRule="exact"/>
              <w:jc w:val="both"/>
              <w:rPr>
                <w:rFonts w:ascii="TimesNewRoman" w:eastAsiaTheme="minorHAnsi" w:hAnsi="TimesNewRoman" w:cs="TimesNewRoman"/>
              </w:rPr>
            </w:pPr>
            <w:r w:rsidRPr="002A02DA">
              <w:rPr>
                <w:rFonts w:ascii="TimesNewRoman" w:eastAsiaTheme="minorHAnsi" w:hAnsi="TimesNewRoman" w:cs="TimesNewRoman"/>
                <w:lang w:val="ru-KZ"/>
              </w:rPr>
              <w:t xml:space="preserve">Намечаемая деятельность предполагает строительство </w:t>
            </w:r>
            <w:r w:rsidR="00B628D9">
              <w:rPr>
                <w:rFonts w:ascii="TimesNewRoman" w:eastAsiaTheme="minorHAnsi" w:hAnsi="TimesNewRoman" w:cs="TimesNewRoman"/>
              </w:rPr>
              <w:t>тепловой сети по кратчайшему возможному расстоянию между связываемыми объектами</w:t>
            </w:r>
            <w:r w:rsidRPr="002A02DA">
              <w:rPr>
                <w:rFonts w:ascii="TimesNewRoman" w:eastAsiaTheme="minorHAnsi" w:hAnsi="TimesNewRoman" w:cs="TimesNewRoman"/>
                <w:lang w:val="ru-KZ"/>
              </w:rPr>
              <w:t xml:space="preserve">. </w:t>
            </w:r>
            <w:r w:rsidR="00B628D9">
              <w:rPr>
                <w:rFonts w:ascii="TimesNewRoman" w:eastAsiaTheme="minorHAnsi" w:hAnsi="TimesNewRoman" w:cs="TimesNewRoman"/>
              </w:rPr>
              <w:t>Ст</w:t>
            </w:r>
            <w:r w:rsidR="00B628D9" w:rsidRPr="00B628D9">
              <w:rPr>
                <w:rFonts w:ascii="TimesNewRoman" w:eastAsiaTheme="minorHAnsi" w:hAnsi="TimesNewRoman" w:cs="TimesNewRoman"/>
                <w:lang w:val="ru-KZ"/>
              </w:rPr>
              <w:t>роительство тепловой сети, соединит два теплоисточника: ТОО «Усть-Каменогорскую ТЭЦ» и ТОО «Согринскую ТЭЦ», а также обеспечит теплоснабжение микрорайонов Новая Согра, Радужный, Солнечный, Арматурный завод (Карабах) и Защита</w:t>
            </w:r>
            <w:r w:rsidRPr="002A02DA">
              <w:rPr>
                <w:rFonts w:ascii="TimesNewRoman" w:eastAsiaTheme="minorHAnsi" w:hAnsi="TimesNewRoman" w:cs="TimesNewRoman"/>
                <w:lang w:val="ru-KZ"/>
              </w:rPr>
              <w:t xml:space="preserve">. Местоположение </w:t>
            </w:r>
            <w:r w:rsidR="00B628D9">
              <w:rPr>
                <w:rFonts w:ascii="TimesNewRoman" w:eastAsiaTheme="minorHAnsi" w:hAnsi="TimesNewRoman" w:cs="TimesNewRoman"/>
              </w:rPr>
              <w:t xml:space="preserve">участка работ </w:t>
            </w:r>
            <w:r w:rsidRPr="002A02DA">
              <w:rPr>
                <w:rFonts w:ascii="TimesNewRoman" w:eastAsiaTheme="minorHAnsi" w:hAnsi="TimesNewRoman" w:cs="TimesNewRoman"/>
                <w:lang w:val="ru-KZ"/>
              </w:rPr>
              <w:t xml:space="preserve">выбрано </w:t>
            </w:r>
            <w:r w:rsidR="00B628D9">
              <w:rPr>
                <w:rFonts w:ascii="TimesNewRoman" w:eastAsiaTheme="minorHAnsi" w:hAnsi="TimesNewRoman" w:cs="TimesNewRoman"/>
              </w:rPr>
              <w:t>на участке между связываемыми предприятиями и в максимальной близости к жилым районам, обеспечиваемым теплом от нового участка</w:t>
            </w:r>
          </w:p>
        </w:tc>
      </w:tr>
    </w:tbl>
    <w:p w14:paraId="5411E8D1" w14:textId="4DC3C220" w:rsidR="0032452C" w:rsidRDefault="0032452C">
      <w:pPr>
        <w:pStyle w:val="a3"/>
        <w:spacing w:line="264" w:lineRule="exact"/>
        <w:ind w:left="598"/>
        <w:jc w:val="both"/>
        <w:rPr>
          <w:spacing w:val="-10"/>
        </w:rPr>
      </w:pPr>
    </w:p>
    <w:p w14:paraId="69FB1E6A" w14:textId="77777777" w:rsidR="00A22983" w:rsidRDefault="00A22983">
      <w:pPr>
        <w:pStyle w:val="a3"/>
        <w:spacing w:line="264" w:lineRule="exact"/>
        <w:ind w:left="598"/>
        <w:jc w:val="both"/>
        <w:rPr>
          <w:spacing w:val="-10"/>
        </w:rPr>
      </w:pPr>
    </w:p>
    <w:sectPr w:rsidR="00A22983" w:rsidSect="0032452C">
      <w:pgSz w:w="12250" w:h="15820"/>
      <w:pgMar w:top="480" w:right="64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7669E"/>
    <w:multiLevelType w:val="hybridMultilevel"/>
    <w:tmpl w:val="BC523674"/>
    <w:lvl w:ilvl="0" w:tplc="6C9ACE10">
      <w:start w:val="1"/>
      <w:numFmt w:val="decimal"/>
      <w:lvlText w:val="%1."/>
      <w:lvlJc w:val="left"/>
      <w:pPr>
        <w:ind w:left="1686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1" w:tplc="F97EE9EE">
      <w:start w:val="1"/>
      <w:numFmt w:val="decimal"/>
      <w:lvlText w:val="%2)"/>
      <w:lvlJc w:val="left"/>
      <w:pPr>
        <w:ind w:left="598" w:hanging="2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2" w:tplc="0010A79C">
      <w:numFmt w:val="bullet"/>
      <w:lvlText w:val="•"/>
      <w:lvlJc w:val="left"/>
      <w:pPr>
        <w:ind w:left="2771" w:hanging="287"/>
      </w:pPr>
      <w:rPr>
        <w:rFonts w:hint="default"/>
        <w:lang w:val="ru-RU" w:eastAsia="en-US" w:bidi="ar-SA"/>
      </w:rPr>
    </w:lvl>
    <w:lvl w:ilvl="3" w:tplc="A12A3060">
      <w:numFmt w:val="bullet"/>
      <w:lvlText w:val="•"/>
      <w:lvlJc w:val="left"/>
      <w:pPr>
        <w:ind w:left="3863" w:hanging="287"/>
      </w:pPr>
      <w:rPr>
        <w:rFonts w:hint="default"/>
        <w:lang w:val="ru-RU" w:eastAsia="en-US" w:bidi="ar-SA"/>
      </w:rPr>
    </w:lvl>
    <w:lvl w:ilvl="4" w:tplc="4386C620">
      <w:numFmt w:val="bullet"/>
      <w:lvlText w:val="•"/>
      <w:lvlJc w:val="left"/>
      <w:pPr>
        <w:ind w:left="4955" w:hanging="287"/>
      </w:pPr>
      <w:rPr>
        <w:rFonts w:hint="default"/>
        <w:lang w:val="ru-RU" w:eastAsia="en-US" w:bidi="ar-SA"/>
      </w:rPr>
    </w:lvl>
    <w:lvl w:ilvl="5" w:tplc="2DF8E9B4">
      <w:numFmt w:val="bullet"/>
      <w:lvlText w:val="•"/>
      <w:lvlJc w:val="left"/>
      <w:pPr>
        <w:ind w:left="6047" w:hanging="287"/>
      </w:pPr>
      <w:rPr>
        <w:rFonts w:hint="default"/>
        <w:lang w:val="ru-RU" w:eastAsia="en-US" w:bidi="ar-SA"/>
      </w:rPr>
    </w:lvl>
    <w:lvl w:ilvl="6" w:tplc="65A038EA">
      <w:numFmt w:val="bullet"/>
      <w:lvlText w:val="•"/>
      <w:lvlJc w:val="left"/>
      <w:pPr>
        <w:ind w:left="7138" w:hanging="287"/>
      </w:pPr>
      <w:rPr>
        <w:rFonts w:hint="default"/>
        <w:lang w:val="ru-RU" w:eastAsia="en-US" w:bidi="ar-SA"/>
      </w:rPr>
    </w:lvl>
    <w:lvl w:ilvl="7" w:tplc="E80CB5E8">
      <w:numFmt w:val="bullet"/>
      <w:lvlText w:val="•"/>
      <w:lvlJc w:val="left"/>
      <w:pPr>
        <w:ind w:left="8230" w:hanging="287"/>
      </w:pPr>
      <w:rPr>
        <w:rFonts w:hint="default"/>
        <w:lang w:val="ru-RU" w:eastAsia="en-US" w:bidi="ar-SA"/>
      </w:rPr>
    </w:lvl>
    <w:lvl w:ilvl="8" w:tplc="029EA8C8">
      <w:numFmt w:val="bullet"/>
      <w:lvlText w:val="•"/>
      <w:lvlJc w:val="left"/>
      <w:pPr>
        <w:ind w:left="9322" w:hanging="287"/>
      </w:pPr>
      <w:rPr>
        <w:rFonts w:hint="default"/>
        <w:lang w:val="ru-RU" w:eastAsia="en-US" w:bidi="ar-SA"/>
      </w:rPr>
    </w:lvl>
  </w:abstractNum>
  <w:abstractNum w:abstractNumId="1" w15:restartNumberingAfterBreak="0">
    <w:nsid w:val="3E3D5EF7"/>
    <w:multiLevelType w:val="hybridMultilevel"/>
    <w:tmpl w:val="BC523674"/>
    <w:lvl w:ilvl="0" w:tplc="6C9ACE10">
      <w:start w:val="1"/>
      <w:numFmt w:val="decimal"/>
      <w:lvlText w:val="%1."/>
      <w:lvlJc w:val="left"/>
      <w:pPr>
        <w:ind w:left="1686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1" w:tplc="F97EE9EE">
      <w:start w:val="1"/>
      <w:numFmt w:val="decimal"/>
      <w:lvlText w:val="%2)"/>
      <w:lvlJc w:val="left"/>
      <w:pPr>
        <w:ind w:left="598" w:hanging="2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2" w:tplc="0010A79C">
      <w:numFmt w:val="bullet"/>
      <w:lvlText w:val="•"/>
      <w:lvlJc w:val="left"/>
      <w:pPr>
        <w:ind w:left="2771" w:hanging="287"/>
      </w:pPr>
      <w:rPr>
        <w:rFonts w:hint="default"/>
        <w:lang w:val="ru-RU" w:eastAsia="en-US" w:bidi="ar-SA"/>
      </w:rPr>
    </w:lvl>
    <w:lvl w:ilvl="3" w:tplc="A12A3060">
      <w:numFmt w:val="bullet"/>
      <w:lvlText w:val="•"/>
      <w:lvlJc w:val="left"/>
      <w:pPr>
        <w:ind w:left="3863" w:hanging="287"/>
      </w:pPr>
      <w:rPr>
        <w:rFonts w:hint="default"/>
        <w:lang w:val="ru-RU" w:eastAsia="en-US" w:bidi="ar-SA"/>
      </w:rPr>
    </w:lvl>
    <w:lvl w:ilvl="4" w:tplc="4386C620">
      <w:numFmt w:val="bullet"/>
      <w:lvlText w:val="•"/>
      <w:lvlJc w:val="left"/>
      <w:pPr>
        <w:ind w:left="4955" w:hanging="287"/>
      </w:pPr>
      <w:rPr>
        <w:rFonts w:hint="default"/>
        <w:lang w:val="ru-RU" w:eastAsia="en-US" w:bidi="ar-SA"/>
      </w:rPr>
    </w:lvl>
    <w:lvl w:ilvl="5" w:tplc="2DF8E9B4">
      <w:numFmt w:val="bullet"/>
      <w:lvlText w:val="•"/>
      <w:lvlJc w:val="left"/>
      <w:pPr>
        <w:ind w:left="6047" w:hanging="287"/>
      </w:pPr>
      <w:rPr>
        <w:rFonts w:hint="default"/>
        <w:lang w:val="ru-RU" w:eastAsia="en-US" w:bidi="ar-SA"/>
      </w:rPr>
    </w:lvl>
    <w:lvl w:ilvl="6" w:tplc="65A038EA">
      <w:numFmt w:val="bullet"/>
      <w:lvlText w:val="•"/>
      <w:lvlJc w:val="left"/>
      <w:pPr>
        <w:ind w:left="7138" w:hanging="287"/>
      </w:pPr>
      <w:rPr>
        <w:rFonts w:hint="default"/>
        <w:lang w:val="ru-RU" w:eastAsia="en-US" w:bidi="ar-SA"/>
      </w:rPr>
    </w:lvl>
    <w:lvl w:ilvl="7" w:tplc="E80CB5E8">
      <w:numFmt w:val="bullet"/>
      <w:lvlText w:val="•"/>
      <w:lvlJc w:val="left"/>
      <w:pPr>
        <w:ind w:left="8230" w:hanging="287"/>
      </w:pPr>
      <w:rPr>
        <w:rFonts w:hint="default"/>
        <w:lang w:val="ru-RU" w:eastAsia="en-US" w:bidi="ar-SA"/>
      </w:rPr>
    </w:lvl>
    <w:lvl w:ilvl="8" w:tplc="029EA8C8">
      <w:numFmt w:val="bullet"/>
      <w:lvlText w:val="•"/>
      <w:lvlJc w:val="left"/>
      <w:pPr>
        <w:ind w:left="9322" w:hanging="287"/>
      </w:pPr>
      <w:rPr>
        <w:rFonts w:hint="default"/>
        <w:lang w:val="ru-RU" w:eastAsia="en-US" w:bidi="ar-SA"/>
      </w:rPr>
    </w:lvl>
  </w:abstractNum>
  <w:abstractNum w:abstractNumId="2" w15:restartNumberingAfterBreak="0">
    <w:nsid w:val="550566F9"/>
    <w:multiLevelType w:val="hybridMultilevel"/>
    <w:tmpl w:val="BC523674"/>
    <w:lvl w:ilvl="0" w:tplc="6C9ACE10">
      <w:start w:val="1"/>
      <w:numFmt w:val="decimal"/>
      <w:lvlText w:val="%1."/>
      <w:lvlJc w:val="left"/>
      <w:pPr>
        <w:ind w:left="1686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1" w:tplc="F97EE9EE">
      <w:start w:val="1"/>
      <w:numFmt w:val="decimal"/>
      <w:lvlText w:val="%2)"/>
      <w:lvlJc w:val="left"/>
      <w:pPr>
        <w:ind w:left="598" w:hanging="2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2" w:tplc="0010A79C">
      <w:numFmt w:val="bullet"/>
      <w:lvlText w:val="•"/>
      <w:lvlJc w:val="left"/>
      <w:pPr>
        <w:ind w:left="2771" w:hanging="287"/>
      </w:pPr>
      <w:rPr>
        <w:rFonts w:hint="default"/>
        <w:lang w:val="ru-RU" w:eastAsia="en-US" w:bidi="ar-SA"/>
      </w:rPr>
    </w:lvl>
    <w:lvl w:ilvl="3" w:tplc="A12A3060">
      <w:numFmt w:val="bullet"/>
      <w:lvlText w:val="•"/>
      <w:lvlJc w:val="left"/>
      <w:pPr>
        <w:ind w:left="3863" w:hanging="287"/>
      </w:pPr>
      <w:rPr>
        <w:rFonts w:hint="default"/>
        <w:lang w:val="ru-RU" w:eastAsia="en-US" w:bidi="ar-SA"/>
      </w:rPr>
    </w:lvl>
    <w:lvl w:ilvl="4" w:tplc="4386C620">
      <w:numFmt w:val="bullet"/>
      <w:lvlText w:val="•"/>
      <w:lvlJc w:val="left"/>
      <w:pPr>
        <w:ind w:left="4955" w:hanging="287"/>
      </w:pPr>
      <w:rPr>
        <w:rFonts w:hint="default"/>
        <w:lang w:val="ru-RU" w:eastAsia="en-US" w:bidi="ar-SA"/>
      </w:rPr>
    </w:lvl>
    <w:lvl w:ilvl="5" w:tplc="2DF8E9B4">
      <w:numFmt w:val="bullet"/>
      <w:lvlText w:val="•"/>
      <w:lvlJc w:val="left"/>
      <w:pPr>
        <w:ind w:left="6047" w:hanging="287"/>
      </w:pPr>
      <w:rPr>
        <w:rFonts w:hint="default"/>
        <w:lang w:val="ru-RU" w:eastAsia="en-US" w:bidi="ar-SA"/>
      </w:rPr>
    </w:lvl>
    <w:lvl w:ilvl="6" w:tplc="65A038EA">
      <w:numFmt w:val="bullet"/>
      <w:lvlText w:val="•"/>
      <w:lvlJc w:val="left"/>
      <w:pPr>
        <w:ind w:left="7138" w:hanging="287"/>
      </w:pPr>
      <w:rPr>
        <w:rFonts w:hint="default"/>
        <w:lang w:val="ru-RU" w:eastAsia="en-US" w:bidi="ar-SA"/>
      </w:rPr>
    </w:lvl>
    <w:lvl w:ilvl="7" w:tplc="E80CB5E8">
      <w:numFmt w:val="bullet"/>
      <w:lvlText w:val="•"/>
      <w:lvlJc w:val="left"/>
      <w:pPr>
        <w:ind w:left="8230" w:hanging="287"/>
      </w:pPr>
      <w:rPr>
        <w:rFonts w:hint="default"/>
        <w:lang w:val="ru-RU" w:eastAsia="en-US" w:bidi="ar-SA"/>
      </w:rPr>
    </w:lvl>
    <w:lvl w:ilvl="8" w:tplc="029EA8C8">
      <w:numFmt w:val="bullet"/>
      <w:lvlText w:val="•"/>
      <w:lvlJc w:val="left"/>
      <w:pPr>
        <w:ind w:left="9322" w:hanging="287"/>
      </w:pPr>
      <w:rPr>
        <w:rFonts w:hint="default"/>
        <w:lang w:val="ru-RU" w:eastAsia="en-US" w:bidi="ar-SA"/>
      </w:rPr>
    </w:lvl>
  </w:abstractNum>
  <w:abstractNum w:abstractNumId="3" w15:restartNumberingAfterBreak="0">
    <w:nsid w:val="68D6378D"/>
    <w:multiLevelType w:val="hybridMultilevel"/>
    <w:tmpl w:val="EE720FD8"/>
    <w:lvl w:ilvl="0" w:tplc="4FCC9C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15A6210"/>
    <w:multiLevelType w:val="multilevel"/>
    <w:tmpl w:val="98081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1F5714"/>
    <w:multiLevelType w:val="hybridMultilevel"/>
    <w:tmpl w:val="BC523674"/>
    <w:lvl w:ilvl="0" w:tplc="6C9ACE10">
      <w:start w:val="1"/>
      <w:numFmt w:val="decimal"/>
      <w:lvlText w:val="%1."/>
      <w:lvlJc w:val="left"/>
      <w:pPr>
        <w:ind w:left="1686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1" w:tplc="F97EE9EE">
      <w:start w:val="1"/>
      <w:numFmt w:val="decimal"/>
      <w:lvlText w:val="%2)"/>
      <w:lvlJc w:val="left"/>
      <w:pPr>
        <w:ind w:left="598" w:hanging="2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3"/>
        <w:szCs w:val="23"/>
        <w:lang w:val="ru-RU" w:eastAsia="en-US" w:bidi="ar-SA"/>
      </w:rPr>
    </w:lvl>
    <w:lvl w:ilvl="2" w:tplc="0010A79C">
      <w:numFmt w:val="bullet"/>
      <w:lvlText w:val="•"/>
      <w:lvlJc w:val="left"/>
      <w:pPr>
        <w:ind w:left="2771" w:hanging="287"/>
      </w:pPr>
      <w:rPr>
        <w:rFonts w:hint="default"/>
        <w:lang w:val="ru-RU" w:eastAsia="en-US" w:bidi="ar-SA"/>
      </w:rPr>
    </w:lvl>
    <w:lvl w:ilvl="3" w:tplc="A12A3060">
      <w:numFmt w:val="bullet"/>
      <w:lvlText w:val="•"/>
      <w:lvlJc w:val="left"/>
      <w:pPr>
        <w:ind w:left="3863" w:hanging="287"/>
      </w:pPr>
      <w:rPr>
        <w:rFonts w:hint="default"/>
        <w:lang w:val="ru-RU" w:eastAsia="en-US" w:bidi="ar-SA"/>
      </w:rPr>
    </w:lvl>
    <w:lvl w:ilvl="4" w:tplc="4386C620">
      <w:numFmt w:val="bullet"/>
      <w:lvlText w:val="•"/>
      <w:lvlJc w:val="left"/>
      <w:pPr>
        <w:ind w:left="4955" w:hanging="287"/>
      </w:pPr>
      <w:rPr>
        <w:rFonts w:hint="default"/>
        <w:lang w:val="ru-RU" w:eastAsia="en-US" w:bidi="ar-SA"/>
      </w:rPr>
    </w:lvl>
    <w:lvl w:ilvl="5" w:tplc="2DF8E9B4">
      <w:numFmt w:val="bullet"/>
      <w:lvlText w:val="•"/>
      <w:lvlJc w:val="left"/>
      <w:pPr>
        <w:ind w:left="6047" w:hanging="287"/>
      </w:pPr>
      <w:rPr>
        <w:rFonts w:hint="default"/>
        <w:lang w:val="ru-RU" w:eastAsia="en-US" w:bidi="ar-SA"/>
      </w:rPr>
    </w:lvl>
    <w:lvl w:ilvl="6" w:tplc="65A038EA">
      <w:numFmt w:val="bullet"/>
      <w:lvlText w:val="•"/>
      <w:lvlJc w:val="left"/>
      <w:pPr>
        <w:ind w:left="7138" w:hanging="287"/>
      </w:pPr>
      <w:rPr>
        <w:rFonts w:hint="default"/>
        <w:lang w:val="ru-RU" w:eastAsia="en-US" w:bidi="ar-SA"/>
      </w:rPr>
    </w:lvl>
    <w:lvl w:ilvl="7" w:tplc="E80CB5E8">
      <w:numFmt w:val="bullet"/>
      <w:lvlText w:val="•"/>
      <w:lvlJc w:val="left"/>
      <w:pPr>
        <w:ind w:left="8230" w:hanging="287"/>
      </w:pPr>
      <w:rPr>
        <w:rFonts w:hint="default"/>
        <w:lang w:val="ru-RU" w:eastAsia="en-US" w:bidi="ar-SA"/>
      </w:rPr>
    </w:lvl>
    <w:lvl w:ilvl="8" w:tplc="029EA8C8">
      <w:numFmt w:val="bullet"/>
      <w:lvlText w:val="•"/>
      <w:lvlJc w:val="left"/>
      <w:pPr>
        <w:ind w:left="9322" w:hanging="28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1F5"/>
    <w:rsid w:val="00030EAD"/>
    <w:rsid w:val="00053091"/>
    <w:rsid w:val="0005560A"/>
    <w:rsid w:val="000625C4"/>
    <w:rsid w:val="00064158"/>
    <w:rsid w:val="00064787"/>
    <w:rsid w:val="000662D2"/>
    <w:rsid w:val="000925EB"/>
    <w:rsid w:val="000B080B"/>
    <w:rsid w:val="000C42BD"/>
    <w:rsid w:val="000E4F32"/>
    <w:rsid w:val="000F4005"/>
    <w:rsid w:val="000F7688"/>
    <w:rsid w:val="00125EC4"/>
    <w:rsid w:val="00171F1E"/>
    <w:rsid w:val="00177B75"/>
    <w:rsid w:val="001866C6"/>
    <w:rsid w:val="001A613D"/>
    <w:rsid w:val="001B57E8"/>
    <w:rsid w:val="001C21F5"/>
    <w:rsid w:val="00211FF7"/>
    <w:rsid w:val="002124DD"/>
    <w:rsid w:val="0022076D"/>
    <w:rsid w:val="002273A1"/>
    <w:rsid w:val="00232208"/>
    <w:rsid w:val="00241ECA"/>
    <w:rsid w:val="002A02DA"/>
    <w:rsid w:val="002A0821"/>
    <w:rsid w:val="002A59B9"/>
    <w:rsid w:val="002C6D0D"/>
    <w:rsid w:val="002C7214"/>
    <w:rsid w:val="002D2532"/>
    <w:rsid w:val="002E107C"/>
    <w:rsid w:val="00313675"/>
    <w:rsid w:val="00316D35"/>
    <w:rsid w:val="0032452C"/>
    <w:rsid w:val="0033375D"/>
    <w:rsid w:val="00363031"/>
    <w:rsid w:val="003A6F7A"/>
    <w:rsid w:val="003A7FFC"/>
    <w:rsid w:val="003E3CDE"/>
    <w:rsid w:val="0040764D"/>
    <w:rsid w:val="004914A5"/>
    <w:rsid w:val="004B3E6B"/>
    <w:rsid w:val="004E6CE4"/>
    <w:rsid w:val="004F03D1"/>
    <w:rsid w:val="005106AC"/>
    <w:rsid w:val="00522418"/>
    <w:rsid w:val="005412F3"/>
    <w:rsid w:val="005450E2"/>
    <w:rsid w:val="005724C7"/>
    <w:rsid w:val="00595738"/>
    <w:rsid w:val="00595F08"/>
    <w:rsid w:val="005B55D9"/>
    <w:rsid w:val="005E139F"/>
    <w:rsid w:val="005F1FBC"/>
    <w:rsid w:val="006177E9"/>
    <w:rsid w:val="00622A9F"/>
    <w:rsid w:val="0062384A"/>
    <w:rsid w:val="00624509"/>
    <w:rsid w:val="00635518"/>
    <w:rsid w:val="00671221"/>
    <w:rsid w:val="00671520"/>
    <w:rsid w:val="006723F7"/>
    <w:rsid w:val="0067443F"/>
    <w:rsid w:val="006B5527"/>
    <w:rsid w:val="006D29D5"/>
    <w:rsid w:val="006D6284"/>
    <w:rsid w:val="00712E36"/>
    <w:rsid w:val="0073738C"/>
    <w:rsid w:val="007620E8"/>
    <w:rsid w:val="00767197"/>
    <w:rsid w:val="00780E02"/>
    <w:rsid w:val="007A25BA"/>
    <w:rsid w:val="007C632D"/>
    <w:rsid w:val="007C6B87"/>
    <w:rsid w:val="007E7B92"/>
    <w:rsid w:val="00805336"/>
    <w:rsid w:val="00846627"/>
    <w:rsid w:val="00864D46"/>
    <w:rsid w:val="00881211"/>
    <w:rsid w:val="0089677B"/>
    <w:rsid w:val="008A42B2"/>
    <w:rsid w:val="008C2408"/>
    <w:rsid w:val="008D70EC"/>
    <w:rsid w:val="008E170A"/>
    <w:rsid w:val="008E1955"/>
    <w:rsid w:val="008E7598"/>
    <w:rsid w:val="008F2F4E"/>
    <w:rsid w:val="00914B01"/>
    <w:rsid w:val="00920F95"/>
    <w:rsid w:val="00930154"/>
    <w:rsid w:val="0096338F"/>
    <w:rsid w:val="00977C5D"/>
    <w:rsid w:val="0098470E"/>
    <w:rsid w:val="00996ED6"/>
    <w:rsid w:val="009B1CFE"/>
    <w:rsid w:val="009B5381"/>
    <w:rsid w:val="00A13A91"/>
    <w:rsid w:val="00A22983"/>
    <w:rsid w:val="00A43002"/>
    <w:rsid w:val="00A434F2"/>
    <w:rsid w:val="00A53DC7"/>
    <w:rsid w:val="00A62396"/>
    <w:rsid w:val="00A81939"/>
    <w:rsid w:val="00AB6176"/>
    <w:rsid w:val="00B628D9"/>
    <w:rsid w:val="00B71FF3"/>
    <w:rsid w:val="00B82D39"/>
    <w:rsid w:val="00BB11A9"/>
    <w:rsid w:val="00BB4706"/>
    <w:rsid w:val="00BC3F3B"/>
    <w:rsid w:val="00BF2419"/>
    <w:rsid w:val="00BF7402"/>
    <w:rsid w:val="00C17444"/>
    <w:rsid w:val="00C21909"/>
    <w:rsid w:val="00C40966"/>
    <w:rsid w:val="00C46E1B"/>
    <w:rsid w:val="00C63DC2"/>
    <w:rsid w:val="00C71D0B"/>
    <w:rsid w:val="00C758BE"/>
    <w:rsid w:val="00CC2AA6"/>
    <w:rsid w:val="00CC2CAE"/>
    <w:rsid w:val="00CF11E4"/>
    <w:rsid w:val="00D15722"/>
    <w:rsid w:val="00D27526"/>
    <w:rsid w:val="00D45DD4"/>
    <w:rsid w:val="00DA5663"/>
    <w:rsid w:val="00DC4DD1"/>
    <w:rsid w:val="00DC7201"/>
    <w:rsid w:val="00DC7B9E"/>
    <w:rsid w:val="00DE18CE"/>
    <w:rsid w:val="00DE3A2F"/>
    <w:rsid w:val="00DE75BD"/>
    <w:rsid w:val="00DF1D13"/>
    <w:rsid w:val="00E05C2E"/>
    <w:rsid w:val="00E2254B"/>
    <w:rsid w:val="00E436A7"/>
    <w:rsid w:val="00E44F41"/>
    <w:rsid w:val="00E67492"/>
    <w:rsid w:val="00EB041A"/>
    <w:rsid w:val="00EC0FF3"/>
    <w:rsid w:val="00ED1356"/>
    <w:rsid w:val="00EE279E"/>
    <w:rsid w:val="00EE31C6"/>
    <w:rsid w:val="00F04BD3"/>
    <w:rsid w:val="00F0505B"/>
    <w:rsid w:val="00F20625"/>
    <w:rsid w:val="00F27D44"/>
    <w:rsid w:val="00F37A61"/>
    <w:rsid w:val="00F42FBE"/>
    <w:rsid w:val="00F57535"/>
    <w:rsid w:val="00F9691E"/>
    <w:rsid w:val="00FC1189"/>
    <w:rsid w:val="00FC71A3"/>
    <w:rsid w:val="00FE43E6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204D"/>
  <w15:docId w15:val="{85FE4B5E-3846-45F1-A8EA-C4EEE9DB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Title"/>
    <w:basedOn w:val="a"/>
    <w:uiPriority w:val="10"/>
    <w:qFormat/>
    <w:pPr>
      <w:ind w:left="426"/>
      <w:jc w:val="center"/>
    </w:pPr>
    <w:rPr>
      <w:b/>
      <w:bCs/>
      <w:sz w:val="27"/>
      <w:szCs w:val="27"/>
    </w:rPr>
  </w:style>
  <w:style w:type="paragraph" w:styleId="a5">
    <w:name w:val="List Paragraph"/>
    <w:aliases w:val="Paragraph,Citation List,Resume Title,List Paragraph Char Char,Bullet 1,List Paragraph1,b1,Number_1,SGLText List Paragraph,new,lp1,Normal Sentence,Colorful List - Accent 11,ListPar1,List Paragraph2,List Paragraph11,list1,Figure_name,HEAD 3,3"/>
    <w:basedOn w:val="a"/>
    <w:link w:val="a6"/>
    <w:uiPriority w:val="34"/>
    <w:qFormat/>
    <w:pPr>
      <w:ind w:left="598" w:right="167" w:firstLine="859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39"/>
    <w:rsid w:val="00324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Paragraph Знак,Citation List Знак,Resume Title Знак,List Paragraph Char Char Знак,Bullet 1 Знак,List Paragraph1 Знак,b1 Знак,Number_1 Знак,SGLText List Paragraph Знак,new Знак,lp1 Знак,Normal Sentence Знак,ListPar1 Знак,list1 Знак"/>
    <w:link w:val="a5"/>
    <w:uiPriority w:val="34"/>
    <w:qFormat/>
    <w:rsid w:val="007C6B87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05309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/>
  <LinksUpToDate>false</LinksUpToDate>
  <CharactersWithSpaces>28014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>Отчет</dc:subject>
  <dc:creator>Анна</dc:creator>
  <cp:lastModifiedBy>Анна</cp:lastModifiedBy>
  <cp:revision>44</cp:revision>
  <dcterms:created xsi:type="dcterms:W3CDTF">2025-03-04T10:20:00Z</dcterms:created>
  <dcterms:modified xsi:type="dcterms:W3CDTF">2026-04-14T11:24:00Z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2025-01-27T00:00:00Z</vt:filetime>
  </property>
  <property fmtid="{D5CDD505-2E9C-101B-9397-08002B2CF9AE}" pid="3" name="Creator">
    <vt:lpwstr>Stimulsoft Reports 2010.1.700 from 26 March 2010</vt:lpwstr>
  </property>
  <property fmtid="{D5CDD505-2E9C-101B-9397-08002B2CF9AE}" pid="4" name="LastSaved">
    <vt:filetime>2025-02-03T00:00:00Z</vt:filetime>
  </property>
  <property fmtid="{D5CDD505-2E9C-101B-9397-08002B2CF9AE}" pid="5" name="Producer">
    <vt:lpwstr>Stimulsoft Reports; modified using iTextSharp™ 5.5.3 ©2000-2014 iText Group NV (AGPL-version)</vt:lpwstr>
  </property>
</Properties>
</file>